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FAF64" w14:textId="3976F285" w:rsidR="006D31E6" w:rsidRDefault="00000000">
      <w:pPr>
        <w:spacing w:after="80"/>
      </w:pPr>
      <w:r>
        <w:rPr>
          <w:b/>
          <w:bCs/>
          <w:sz w:val="44"/>
          <w:szCs w:val="44"/>
        </w:rPr>
        <w:t>FIRM AI USAGE GUIDELINES</w:t>
      </w:r>
    </w:p>
    <w:p w14:paraId="0CC88797" w14:textId="7F9F0792" w:rsidR="006D31E6" w:rsidRDefault="00000000">
      <w:pPr>
        <w:spacing w:after="240"/>
      </w:pPr>
      <w:r>
        <w:rPr>
          <w:i/>
          <w:iCs/>
          <w:color w:val="2D5BBD"/>
          <w:sz w:val="24"/>
          <w:szCs w:val="24"/>
        </w:rPr>
        <w:t>A Practical Framework for Using AI Tools in Compliance with IRC §7216 and Circular 230</w:t>
      </w:r>
    </w:p>
    <w:p w14:paraId="0697AE1F" w14:textId="1F8C467A" w:rsidR="006D31E6" w:rsidRDefault="00000000" w:rsidP="00551B5D">
      <w:pPr>
        <w:spacing w:after="60"/>
      </w:pPr>
      <w:r>
        <w:rPr>
          <w:color w:val="6B7E9A"/>
          <w:sz w:val="20"/>
          <w:szCs w:val="20"/>
        </w:rPr>
        <w:t>Prepared for circulation within tax and accounting firms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31E6" w14:paraId="1F29D933" w14:textId="77777777">
        <w:tc>
          <w:tcPr>
            <w:tcW w:w="9360" w:type="dxa"/>
            <w:tcBorders>
              <w:top w:val="single" w:sz="4" w:space="0" w:color="DC2626"/>
              <w:left w:val="single" w:sz="24" w:space="0" w:color="DC2626"/>
              <w:bottom w:val="single" w:sz="4" w:space="0" w:color="DC2626"/>
              <w:right w:val="single" w:sz="4" w:space="0" w:color="DC2626"/>
            </w:tcBorders>
            <w:shd w:val="clear" w:color="auto" w:fill="F0F5FF"/>
            <w:tcMar>
              <w:top w:w="160" w:type="dxa"/>
              <w:left w:w="200" w:type="dxa"/>
              <w:bottom w:w="160" w:type="dxa"/>
              <w:right w:w="200" w:type="dxa"/>
            </w:tcMar>
          </w:tcPr>
          <w:p w14:paraId="03FF7DA8" w14:textId="77777777" w:rsidR="006D31E6" w:rsidRDefault="00000000">
            <w:pPr>
              <w:spacing w:after="80"/>
            </w:pPr>
            <w:r>
              <w:rPr>
                <w:b/>
                <w:bCs/>
                <w:color w:val="DC2626"/>
              </w:rPr>
              <w:t>How to use this document</w:t>
            </w:r>
          </w:p>
          <w:p w14:paraId="7B8457D1" w14:textId="77777777" w:rsidR="006D31E6" w:rsidRDefault="00000000">
            <w:pPr>
              <w:spacing w:after="60"/>
            </w:pPr>
            <w:r>
              <w:rPr>
                <w:sz w:val="21"/>
                <w:szCs w:val="21"/>
              </w:rPr>
              <w:t>This is a starting framework, not legal advice. Firms should have these guidelines reviewed by counsel before formal adoption. Complete the blank fields in Section 3 (approved tools) and Section 7 (designated reviewer and escalation contact) before circulating internally.</w:t>
            </w:r>
          </w:p>
        </w:tc>
      </w:tr>
    </w:tbl>
    <w:p w14:paraId="237E3F23" w14:textId="77777777" w:rsidR="006D31E6" w:rsidRDefault="00000000">
      <w:r>
        <w:br w:type="page"/>
      </w:r>
    </w:p>
    <w:p w14:paraId="3D48F1BD" w14:textId="77777777" w:rsidR="006D31E6" w:rsidRDefault="00000000">
      <w:pPr>
        <w:pStyle w:val="Heading1"/>
      </w:pPr>
      <w:r>
        <w:lastRenderedPageBreak/>
        <w:t>1. Why This Policy Exists</w:t>
      </w:r>
    </w:p>
    <w:p w14:paraId="326EB933" w14:textId="27B7B000" w:rsidR="006D31E6" w:rsidRDefault="00000000">
      <w:pPr>
        <w:spacing w:after="160"/>
      </w:pPr>
      <w:r>
        <w:t>Tax professionals are adopting AI tools quickly, research assistants, document summarizers, data extractors, and drafting copilots. The tax law has long treated taxpayer data as highly restricted in the hands of a return preparer. AI does not create an exception to that rule.</w:t>
      </w:r>
    </w:p>
    <w:p w14:paraId="326EB934" w14:textId="27B7B001" w:rsidR="006D31E6" w:rsidRDefault="00000000">
      <w:pPr>
        <w:spacing w:after="160"/>
      </w:pPr>
      <w:r>
        <w:t>IRS Issue Number 2026-19, titled Introductory Guidelines for Responsible AI Use in Federal Tax Practice, was released on June 24, 2026. It does not create new law. It makes clear that existing professional obligations apply in full when practitioners use AI tools. Those obligations come from two sources: IRC §7216 and IRC §6713 on taxpayer data protection, and Circular 230 on professional conduct. Both are addressed in this document. Sections 1 through 8 cover the §7216/§6713 data protection framework. Sections 9 through 12 cover the Circular 230 obligations that 2026-19 makes directly applicable to AI-assisted work.</w:t>
      </w:r>
    </w:p>
    <w:p w14:paraId="5CC3B5B0" w14:textId="77777777" w:rsidR="006D31E6" w:rsidRDefault="00000000">
      <w:pPr>
        <w:spacing w:after="160"/>
      </w:pPr>
      <w:r>
        <w:t>IRC §7216 makes it a criminal offense for a tax return preparer to knowingly or recklessly disclose or use tax return information (TRI) for any purpose other than preparing or assisting in preparing a return, unless authorized by the Code or regulations.</w:t>
      </w:r>
    </w:p>
    <w:p w14:paraId="5B1E0ACF" w14:textId="77777777" w:rsidR="006D31E6" w:rsidRDefault="00000000">
      <w:pPr>
        <w:spacing w:after="160"/>
      </w:pPr>
      <w:r>
        <w:t>The regulations define both terms broadly:</w:t>
      </w:r>
    </w:p>
    <w:p w14:paraId="2A919A4A" w14:textId="77777777" w:rsidR="006D31E6" w:rsidRDefault="00000000">
      <w:pPr>
        <w:pStyle w:val="ListParagraph"/>
        <w:numPr>
          <w:ilvl w:val="0"/>
          <w:numId w:val="2"/>
        </w:numPr>
        <w:spacing w:after="80"/>
      </w:pPr>
      <w:r>
        <w:t>“Disclosure” means the act of making tax return information known to any person in any manner whatever. (Treas. Reg. §301.7216-1(b)(3))</w:t>
      </w:r>
    </w:p>
    <w:p w14:paraId="2ED8E2B9" w14:textId="77777777" w:rsidR="006D31E6" w:rsidRDefault="00000000">
      <w:pPr>
        <w:pStyle w:val="ListParagraph"/>
        <w:numPr>
          <w:ilvl w:val="0"/>
          <w:numId w:val="2"/>
        </w:numPr>
        <w:spacing w:after="80"/>
      </w:pPr>
      <w:r>
        <w:t>“Use” includes any circumstance in which a preparer refers to, or relies upon, tax return information as the basis to take or permit an action. (Treas. Reg. §301.7216-1(b)(4))</w:t>
      </w:r>
    </w:p>
    <w:p w14:paraId="517EA4E1" w14:textId="71D57EAF" w:rsidR="006D31E6" w:rsidRDefault="00000000">
      <w:pPr>
        <w:spacing w:after="160"/>
      </w:pPr>
      <w:r>
        <w:t>When staff paste client facts, source documents, or return data into an AI system operated by a third-party vendor, the firm has typically made TRI known to another person the vendor and potentially its subprocessors. Under the regulatory definition, that transmission is generally a disclosure.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31E6" w14:paraId="5BA2DA04" w14:textId="77777777">
        <w:tc>
          <w:tcPr>
            <w:tcW w:w="9360" w:type="dxa"/>
            <w:tcBorders>
              <w:top w:val="single" w:sz="4" w:space="0" w:color="DC2626"/>
              <w:left w:val="single" w:sz="24" w:space="0" w:color="DC2626"/>
              <w:bottom w:val="single" w:sz="4" w:space="0" w:color="DC2626"/>
              <w:right w:val="single" w:sz="4" w:space="0" w:color="DC2626"/>
            </w:tcBorders>
            <w:shd w:val="clear" w:color="auto" w:fill="F0F5FF"/>
            <w:tcMar>
              <w:top w:w="160" w:type="dxa"/>
              <w:left w:w="200" w:type="dxa"/>
              <w:bottom w:w="160" w:type="dxa"/>
              <w:right w:w="200" w:type="dxa"/>
            </w:tcMar>
          </w:tcPr>
          <w:p w14:paraId="02882522" w14:textId="77777777" w:rsidR="006D31E6" w:rsidRDefault="00000000">
            <w:pPr>
              <w:spacing w:after="80"/>
            </w:pPr>
            <w:r>
              <w:rPr>
                <w:b/>
                <w:bCs/>
                <w:color w:val="DC2626"/>
              </w:rPr>
              <w:t>Penalty exposure</w:t>
            </w:r>
          </w:p>
          <w:p w14:paraId="3C053137" w14:textId="09B1C89E" w:rsidR="006D31E6" w:rsidRDefault="00000000">
            <w:pPr>
              <w:spacing w:after="60"/>
            </w:pPr>
            <w:r>
              <w:rPr>
                <w:sz w:val="21"/>
                <w:szCs w:val="21"/>
              </w:rPr>
              <w:t>Criminal (§7216): Fine up to $1,000 and/or imprisonment up to one year per violation. Recklessness is sufficient intent to disclose is not required.</w:t>
            </w:r>
          </w:p>
          <w:p w14:paraId="2E3DD6BD" w14:textId="1D546A08" w:rsidR="006D31E6" w:rsidRDefault="00000000">
            <w:pPr>
              <w:spacing w:after="60"/>
            </w:pPr>
            <w:r>
              <w:rPr>
                <w:sz w:val="21"/>
                <w:szCs w:val="21"/>
              </w:rPr>
              <w:t>Civil (§6713): $250 per unauthorized disclosure or use, capped at $10,000 per calendar year per person. No knowledge or intent standard applies the violation is established by the act itself.</w:t>
            </w:r>
          </w:p>
          <w:p w14:paraId="1563CD48" w14:textId="77777777" w:rsidR="006D31E6" w:rsidRDefault="00000000">
            <w:pPr>
              <w:spacing w:after="60"/>
            </w:pPr>
            <w:r>
              <w:rPr>
                <w:sz w:val="21"/>
                <w:szCs w:val="21"/>
              </w:rPr>
              <w:t>A single non-compliant AI workflow used across hundreds of client files can generate a large number of separate violations, each counted independently.</w:t>
            </w:r>
          </w:p>
          <w:p w14:paraId="30C6F49C" w14:textId="77777777" w:rsidR="006D31E6" w:rsidRDefault="00000000">
            <w:pPr>
              <w:spacing w:after="60"/>
            </w:pPr>
            <w:r>
              <w:rPr>
                <w:i/>
                <w:iCs/>
                <w:sz w:val="19"/>
                <w:szCs w:val="19"/>
              </w:rPr>
              <w:t>Note: where a disclosure or use involves identity theft, two separate enhancements apply. Criminal (§7216(a)): the fine ceiling rises to $100,000 per violation. Civil (§6713(b)): the per-violation penalty rises from $250 to $1,000, and the annual cap rises from $10,000 to $50,000, applied as a cap separate from the cap on ordinary (non-identity-theft) violations. This is a narrower scenario than ordinary AI workflow disclosures but worth knowing if a breach also involves stolen identifying information.</w:t>
            </w:r>
          </w:p>
        </w:tc>
      </w:tr>
    </w:tbl>
    <w:p w14:paraId="1192A106" w14:textId="77777777" w:rsidR="006D31E6" w:rsidRDefault="00000000">
      <w:pPr>
        <w:pStyle w:val="Heading1"/>
      </w:pPr>
      <w:r>
        <w:t>2. The Three-Bucket Framework</w:t>
      </w:r>
    </w:p>
    <w:p w14:paraId="4138274A" w14:textId="77777777" w:rsidR="006D31E6" w:rsidRDefault="00000000">
      <w:pPr>
        <w:spacing w:after="160"/>
      </w:pPr>
      <w:r>
        <w:lastRenderedPageBreak/>
        <w:t>Before adopting any AI tool, classify the intended use into one of three buckets. The bucket determines whether a no-consent exception may apply or whether a written consent process is required.</w:t>
      </w:r>
    </w:p>
    <w:p w14:paraId="22481FFF" w14:textId="77777777" w:rsidR="006D31E6" w:rsidRDefault="00000000">
      <w:pPr>
        <w:pStyle w:val="Heading2"/>
      </w:pPr>
      <w:r>
        <w:t>Bucket A — Return Preparation / Auxiliary Services</w:t>
      </w:r>
    </w:p>
    <w:p w14:paraId="44003282" w14:textId="77777777" w:rsidR="006D31E6" w:rsidRDefault="00000000">
      <w:pPr>
        <w:spacing w:after="160"/>
      </w:pPr>
      <w:r>
        <w:t>Examples: summarizing organizer responses and source documents; extracting values from K-1s, 1099s, brokerage statements; drafting workpaper narratives and technical research outlines.</w:t>
      </w:r>
    </w:p>
    <w:p w14:paraId="569E79E5" w14:textId="77777777" w:rsidR="006D31E6" w:rsidRDefault="00000000">
      <w:pPr>
        <w:spacing w:after="160"/>
      </w:pPr>
      <w:r>
        <w:t>These uses are closest to “prepare/assist in preparing” a return under §7216(a). That does not automatically resolve the disclosure question if TRI is being sent to a third-party AI vendor. Whether a no-consent exception applies depends on the specific facts and the exception being relied on (Treas. Reg. §301.7216-2).</w:t>
      </w:r>
    </w:p>
    <w:p w14:paraId="18B729C6" w14:textId="77777777" w:rsidR="006D31E6" w:rsidRDefault="00000000">
      <w:pPr>
        <w:spacing w:after="160"/>
      </w:pPr>
      <w:r>
        <w:rPr>
          <w:b/>
          <w:bCs/>
        </w:rPr>
        <w:t>Conservative practice approach: if exception applicability is unclear, treat the AI transmission as requiring a compliant consent under Treas. Reg. §301.7216-3.</w:t>
      </w:r>
    </w:p>
    <w:p w14:paraId="45CA53C4" w14:textId="77777777" w:rsidR="006D31E6" w:rsidRDefault="00000000">
      <w:pPr>
        <w:pStyle w:val="Heading2"/>
      </w:pPr>
      <w:r>
        <w:t>Bucket B — Firm Operations / Internal Productivity</w:t>
      </w:r>
    </w:p>
    <w:p w14:paraId="7DFC60F0" w14:textId="77777777" w:rsidR="006D31E6" w:rsidRDefault="00000000">
      <w:pPr>
        <w:spacing w:after="160"/>
      </w:pPr>
      <w:r>
        <w:t>Examples: workflow tracking, scheduling, generic process documentation, internal policy drafting without client data.</w:t>
      </w:r>
    </w:p>
    <w:p w14:paraId="561FD61D" w14:textId="77777777" w:rsidR="006D31E6" w:rsidRDefault="00000000">
      <w:pPr>
        <w:spacing w:after="160"/>
      </w:pPr>
      <w:r>
        <w:t>Best practice: keep TRI out of these systems entirely. Once TRI enters the workflow, the firm is back in the §7216 analysis.</w:t>
      </w:r>
    </w:p>
    <w:p w14:paraId="1E660B33" w14:textId="77777777" w:rsidR="006D31E6" w:rsidRDefault="00000000">
      <w:pPr>
        <w:pStyle w:val="Heading2"/>
      </w:pPr>
      <w:r>
        <w:t>Bucket C — Marketing, Cross-Sell, Analytics, Vendor Product Improvement</w:t>
      </w:r>
    </w:p>
    <w:p w14:paraId="4BC8763F" w14:textId="77777777" w:rsidR="006D31E6" w:rsidRDefault="00000000">
      <w:pPr>
        <w:spacing w:after="160"/>
      </w:pPr>
      <w:r>
        <w:t>Examples: using TRI to generate marketing prompts or outreach; feeding TRI into tools used to develop or train AI products/models; sharing TRI for non-return-prep business purposes.</w:t>
      </w:r>
    </w:p>
    <w:p w14:paraId="646D3D1B" w14:textId="77777777" w:rsidR="006D31E6" w:rsidRDefault="00000000">
      <w:pPr>
        <w:spacing w:after="160"/>
      </w:pPr>
      <w:r>
        <w:rPr>
          <w:b/>
          <w:bCs/>
        </w:rPr>
        <w:t>These are classic “other purpose” scenarios. They typically require a specific written consent satisfying Treas. Reg. §301.7216-3 (and, for individual Form 1040 clients, the additional requirements under Rev. Proc. 2013-14).</w:t>
      </w:r>
    </w:p>
    <w:p w14:paraId="4DCE1611" w14:textId="77777777" w:rsidR="006D31E6" w:rsidRDefault="00000000">
      <w:r>
        <w:br w:type="page"/>
      </w:r>
    </w:p>
    <w:p w14:paraId="76315B2C" w14:textId="77777777" w:rsidR="006D31E6" w:rsidRDefault="00000000">
      <w:pPr>
        <w:pStyle w:val="Heading1"/>
      </w:pPr>
      <w:r>
        <w:lastRenderedPageBreak/>
        <w:t>3. Approved AI Tools &amp; Model Selection</w:t>
      </w:r>
    </w:p>
    <w:p w14:paraId="5E838E62" w14:textId="462B8F8E" w:rsidR="006D31E6" w:rsidRDefault="00000000">
      <w:pPr>
        <w:spacing w:after="160"/>
      </w:pPr>
      <w:r>
        <w:t>Not all AI tools and not all subscription tiers of the same tool offer the same data protection. The single most common compliance failure is staff using a personal or free-tier AI account for client work, where the provider's default terms allow the firm's input to be retained or used to improve the provider's models.</w:t>
      </w:r>
    </w:p>
    <w:p w14:paraId="77FA38EA" w14:textId="5E3AB381" w:rsidR="006D31E6" w:rsidRDefault="00000000">
      <w:pPr>
        <w:spacing w:after="160"/>
      </w:pPr>
      <w:r>
        <w:rPr>
          <w:i/>
          <w:iCs/>
          <w:color w:val="6B7E9A"/>
        </w:rPr>
        <w:t>The table below summarizes current data handling defaults for the most common providers. Tiers and policies change, the firm's designated reviewer should re-verify before relying on this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4200"/>
        <w:gridCol w:w="3360"/>
      </w:tblGrid>
      <w:tr w:rsidR="006D31E6" w14:paraId="426C7A69" w14:textId="77777777">
        <w:trPr>
          <w:tblHeader/>
        </w:trPr>
        <w:tc>
          <w:tcPr>
            <w:tcW w:w="1800" w:type="dxa"/>
            <w:tcBorders>
              <w:top w:val="single" w:sz="4" w:space="0" w:color="D1D9E6"/>
              <w:left w:val="single" w:sz="4" w:space="0" w:color="D1D9E6"/>
              <w:bottom w:val="single" w:sz="4" w:space="0" w:color="D1D9E6"/>
              <w:right w:val="single" w:sz="4" w:space="0" w:color="D1D9E6"/>
            </w:tcBorders>
            <w:shd w:val="clear" w:color="auto" w:fill="2D5BBD"/>
            <w:tcMar>
              <w:top w:w="100" w:type="dxa"/>
              <w:left w:w="120" w:type="dxa"/>
              <w:bottom w:w="100" w:type="dxa"/>
              <w:right w:w="120" w:type="dxa"/>
            </w:tcMar>
          </w:tcPr>
          <w:p w14:paraId="556657C0" w14:textId="77777777" w:rsidR="006D31E6" w:rsidRDefault="00000000">
            <w:r>
              <w:rPr>
                <w:b/>
                <w:bCs/>
                <w:color w:val="FFFFFF"/>
              </w:rPr>
              <w:t>Provider / Tier</w:t>
            </w:r>
          </w:p>
        </w:tc>
        <w:tc>
          <w:tcPr>
            <w:tcW w:w="4200" w:type="dxa"/>
            <w:tcBorders>
              <w:top w:val="single" w:sz="4" w:space="0" w:color="D1D9E6"/>
              <w:left w:val="single" w:sz="4" w:space="0" w:color="D1D9E6"/>
              <w:bottom w:val="single" w:sz="4" w:space="0" w:color="D1D9E6"/>
              <w:right w:val="single" w:sz="4" w:space="0" w:color="D1D9E6"/>
            </w:tcBorders>
            <w:shd w:val="clear" w:color="auto" w:fill="2D5BBD"/>
            <w:tcMar>
              <w:top w:w="100" w:type="dxa"/>
              <w:left w:w="120" w:type="dxa"/>
              <w:bottom w:w="100" w:type="dxa"/>
              <w:right w:w="120" w:type="dxa"/>
            </w:tcMar>
          </w:tcPr>
          <w:p w14:paraId="52414C6C" w14:textId="77777777" w:rsidR="006D31E6" w:rsidRDefault="00000000">
            <w:r>
              <w:rPr>
                <w:b/>
                <w:bCs/>
                <w:color w:val="FFFFFF"/>
              </w:rPr>
              <w:t>Default Training on Your Data?</w:t>
            </w:r>
          </w:p>
        </w:tc>
        <w:tc>
          <w:tcPr>
            <w:tcW w:w="3360" w:type="dxa"/>
            <w:tcBorders>
              <w:top w:val="single" w:sz="4" w:space="0" w:color="D1D9E6"/>
              <w:left w:val="single" w:sz="4" w:space="0" w:color="D1D9E6"/>
              <w:bottom w:val="single" w:sz="4" w:space="0" w:color="D1D9E6"/>
              <w:right w:val="single" w:sz="4" w:space="0" w:color="D1D9E6"/>
            </w:tcBorders>
            <w:shd w:val="clear" w:color="auto" w:fill="2D5BBD"/>
            <w:tcMar>
              <w:top w:w="100" w:type="dxa"/>
              <w:left w:w="120" w:type="dxa"/>
              <w:bottom w:w="100" w:type="dxa"/>
              <w:right w:w="120" w:type="dxa"/>
            </w:tcMar>
          </w:tcPr>
          <w:p w14:paraId="2E1DA5C0" w14:textId="77777777" w:rsidR="006D31E6" w:rsidRDefault="00000000">
            <w:r>
              <w:rPr>
                <w:b/>
                <w:bCs/>
                <w:color w:val="FFFFFF"/>
              </w:rPr>
              <w:t>Retention</w:t>
            </w:r>
          </w:p>
        </w:tc>
      </w:tr>
      <w:tr w:rsidR="006D31E6" w14:paraId="658A15C0" w14:textId="77777777">
        <w:tc>
          <w:tcPr>
            <w:tcW w:w="18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56A0E8CF" w14:textId="77777777" w:rsidR="006D31E6" w:rsidRDefault="00000000">
            <w:r>
              <w:rPr>
                <w:b/>
                <w:bCs/>
                <w:sz w:val="20"/>
                <w:szCs w:val="20"/>
              </w:rPr>
              <w:t>Claude Free / Pro / Max (consumer)</w:t>
            </w:r>
          </w:p>
        </w:tc>
        <w:tc>
          <w:tcPr>
            <w:tcW w:w="42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76101ECB" w14:textId="279A7ADF" w:rsidR="006D31E6" w:rsidRDefault="00000000">
            <w:r>
              <w:rPr>
                <w:sz w:val="20"/>
                <w:szCs w:val="20"/>
              </w:rPr>
              <w:t>YES by default since Sept 2025 must manually opt out</w:t>
            </w:r>
          </w:p>
        </w:tc>
        <w:tc>
          <w:tcPr>
            <w:tcW w:w="336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637A4A87" w14:textId="77777777" w:rsidR="006D31E6" w:rsidRDefault="00000000">
            <w:r>
              <w:rPr>
                <w:sz w:val="20"/>
                <w:szCs w:val="20"/>
              </w:rPr>
              <w:t>Up to 5 years if training is on; 30 days if opted out</w:t>
            </w:r>
          </w:p>
        </w:tc>
      </w:tr>
      <w:tr w:rsidR="006D31E6" w14:paraId="3069471B" w14:textId="77777777">
        <w:tc>
          <w:tcPr>
            <w:tcW w:w="18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7D71587D" w14:textId="77777777" w:rsidR="006D31E6" w:rsidRDefault="00000000">
            <w:r>
              <w:rPr>
                <w:b/>
                <w:bCs/>
                <w:sz w:val="20"/>
                <w:szCs w:val="20"/>
              </w:rPr>
              <w:t>Claude API / Bedrock / Vertex / Enterprise (commercial)</w:t>
            </w:r>
          </w:p>
        </w:tc>
        <w:tc>
          <w:tcPr>
            <w:tcW w:w="42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005CA947" w14:textId="7B71E6DE" w:rsidR="006D31E6" w:rsidRDefault="00000000">
            <w:r>
              <w:rPr>
                <w:sz w:val="20"/>
                <w:szCs w:val="20"/>
              </w:rPr>
              <w:t>NO, never used for training</w:t>
            </w:r>
          </w:p>
        </w:tc>
        <w:tc>
          <w:tcPr>
            <w:tcW w:w="336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7DD6B1A0" w14:textId="77777777" w:rsidR="006D31E6" w:rsidRDefault="00000000">
            <w:r>
              <w:rPr>
                <w:sz w:val="20"/>
                <w:szCs w:val="20"/>
              </w:rPr>
              <w:t>7 days standard for most models; Zero Data Retention available for qualifying orgs, but check current model-specific terms*</w:t>
            </w:r>
          </w:p>
        </w:tc>
      </w:tr>
      <w:tr w:rsidR="006D31E6" w14:paraId="5BD3F719" w14:textId="77777777">
        <w:tc>
          <w:tcPr>
            <w:tcW w:w="18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51D9A1F6" w14:textId="77777777" w:rsidR="006D31E6" w:rsidRDefault="00000000">
            <w:r>
              <w:rPr>
                <w:b/>
                <w:bCs/>
                <w:sz w:val="20"/>
                <w:szCs w:val="20"/>
              </w:rPr>
              <w:t>ChatGPT Free / Plus (consumer)</w:t>
            </w:r>
          </w:p>
        </w:tc>
        <w:tc>
          <w:tcPr>
            <w:tcW w:w="42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25273B54" w14:textId="77777777" w:rsidR="006D31E6" w:rsidRDefault="00000000">
            <w:r>
              <w:rPr>
                <w:sz w:val="20"/>
                <w:szCs w:val="20"/>
              </w:rPr>
              <w:t>Retained indefinitely until user deletes; training settings must be checked manually</w:t>
            </w:r>
          </w:p>
        </w:tc>
        <w:tc>
          <w:tcPr>
            <w:tcW w:w="336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6D1BBAA3" w14:textId="77777777" w:rsidR="006D31E6" w:rsidRDefault="00000000">
            <w:r>
              <w:rPr>
                <w:sz w:val="20"/>
                <w:szCs w:val="20"/>
              </w:rPr>
              <w:t>30 days after deletion</w:t>
            </w:r>
          </w:p>
        </w:tc>
      </w:tr>
      <w:tr w:rsidR="006D31E6" w14:paraId="2F4E8019" w14:textId="77777777">
        <w:tc>
          <w:tcPr>
            <w:tcW w:w="18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6DBB6BE5" w14:textId="77777777" w:rsidR="006D31E6" w:rsidRDefault="00000000">
            <w:r>
              <w:rPr>
                <w:b/>
                <w:bCs/>
                <w:sz w:val="20"/>
                <w:szCs w:val="20"/>
              </w:rPr>
              <w:t>ChatGPT Business (formerly Team) / Enterprise / API (commercial)</w:t>
            </w:r>
          </w:p>
        </w:tc>
        <w:tc>
          <w:tcPr>
            <w:tcW w:w="42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4A272D06" w14:textId="77777777" w:rsidR="006D31E6" w:rsidRDefault="00000000">
            <w:r>
              <w:rPr>
                <w:sz w:val="20"/>
                <w:szCs w:val="20"/>
              </w:rPr>
              <w:t>NO by default</w:t>
            </w:r>
          </w:p>
        </w:tc>
        <w:tc>
          <w:tcPr>
            <w:tcW w:w="336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5BF70A2E" w14:textId="77777777" w:rsidR="006D31E6" w:rsidRDefault="00000000">
            <w:r>
              <w:rPr>
                <w:sz w:val="20"/>
                <w:szCs w:val="20"/>
              </w:rPr>
              <w:t>30 days standard; Zero Data Retention available for eligible endpoints</w:t>
            </w:r>
          </w:p>
        </w:tc>
      </w:tr>
      <w:tr w:rsidR="006D31E6" w14:paraId="3ECC0B3C" w14:textId="77777777">
        <w:tc>
          <w:tcPr>
            <w:tcW w:w="18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7194FC72" w14:textId="77777777" w:rsidR="006D31E6" w:rsidRDefault="00000000">
            <w:r>
              <w:rPr>
                <w:b/>
                <w:bCs/>
                <w:sz w:val="20"/>
                <w:szCs w:val="20"/>
              </w:rPr>
              <w:t>Microsoft 365 Copilot (with Enterprise Data Protection)</w:t>
            </w:r>
          </w:p>
        </w:tc>
        <w:tc>
          <w:tcPr>
            <w:tcW w:w="420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7BA5988C" w14:textId="1D913357" w:rsidR="006D31E6" w:rsidRDefault="00000000">
            <w:r>
              <w:rPr>
                <w:sz w:val="20"/>
                <w:szCs w:val="20"/>
              </w:rPr>
              <w:t>NO, data via Microsoft Graph is excluded from foundation model training</w:t>
            </w:r>
          </w:p>
        </w:tc>
        <w:tc>
          <w:tcPr>
            <w:tcW w:w="3360" w:type="dxa"/>
            <w:tcBorders>
              <w:top w:val="single" w:sz="4" w:space="0" w:color="D1D9E6"/>
              <w:left w:val="single" w:sz="4" w:space="0" w:color="D1D9E6"/>
              <w:bottom w:val="single" w:sz="4" w:space="0" w:color="D1D9E6"/>
              <w:right w:val="single" w:sz="4" w:space="0" w:color="D1D9E6"/>
            </w:tcBorders>
            <w:tcMar>
              <w:top w:w="100" w:type="dxa"/>
              <w:left w:w="120" w:type="dxa"/>
              <w:bottom w:w="100" w:type="dxa"/>
              <w:right w:w="120" w:type="dxa"/>
            </w:tcMar>
          </w:tcPr>
          <w:p w14:paraId="1ADA2BB9" w14:textId="77777777" w:rsidR="006D31E6" w:rsidRDefault="00000000">
            <w:r>
              <w:rPr>
                <w:sz w:val="20"/>
                <w:szCs w:val="20"/>
              </w:rPr>
              <w:t>Stays within the firm's M365 tenant; governed by the firm's own Purview retention policies</w:t>
            </w:r>
          </w:p>
        </w:tc>
      </w:tr>
    </w:tbl>
    <w:p w14:paraId="34D7CB06" w14:textId="3BB27037" w:rsidR="006D31E6" w:rsidRDefault="00000000">
      <w:pPr>
        <w:spacing w:after="160" w:line="276" w:lineRule="auto"/>
      </w:pPr>
      <w:r>
        <w:rPr>
          <w:b/>
          <w:bCs/>
          <w:color w:val="2D5BBD"/>
          <w:sz w:val="21"/>
          <w:szCs w:val="21"/>
        </w:rPr>
        <w:t xml:space="preserve">A note on Microsoft 365 Copilot and Enterprise Data Protection (EDP): </w:t>
      </w:r>
      <w:r>
        <w:rPr>
          <w:color w:val="1A1A2E"/>
          <w:sz w:val="21"/>
          <w:szCs w:val="21"/>
        </w:rPr>
        <w:t>EDP keeps data, prompts, and responses inside the firm's M365 tenant and excludes Graph-sourced content from training but only for the Microsoft side of the conversation. If the firm connects a third-party tool (including Bizora) to Copilot as a federated MCP connector, that query and its data leave the EDP boundary and go to the third-party vendor's server. EDP governs what Microsoft does; it does not extend to what the connected vendor does once it receives the request. The vendor governance questions in Section 5 still apply to any such connection.</w:t>
      </w:r>
    </w:p>
    <w:p w14:paraId="559470EE" w14:textId="3F71104E" w:rsidR="006D31E6" w:rsidRDefault="00000000">
      <w:pPr>
        <w:spacing w:before="120"/>
      </w:pPr>
      <w:r>
        <w:rPr>
          <w:i/>
          <w:iCs/>
          <w:color w:val="6B7E9A"/>
          <w:sz w:val="18"/>
          <w:szCs w:val="18"/>
        </w:rPr>
        <w:t>*Vendor terms move quickly and can change without much notice. As of June 2026, reports indicate Anthropic's newest model release does not support Zero Data Retention and may override existing ZDR agreements with a standard 30-day retention window. If your firm relies on ZDR with any AI vendor, confirm current model-specific terms directly with the vendor before relying on this table do not assume a prior ZDR agreement still applies to every model version.</w:t>
      </w:r>
    </w:p>
    <w:p w14:paraId="3ABD4CCD" w14:textId="77777777" w:rsidR="006D31E6" w:rsidRDefault="006D31E6">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31E6" w14:paraId="44E362B2" w14:textId="77777777">
        <w:tc>
          <w:tcPr>
            <w:tcW w:w="9360" w:type="dxa"/>
            <w:tcBorders>
              <w:top w:val="single" w:sz="4" w:space="0" w:color="407BFD"/>
              <w:left w:val="single" w:sz="24" w:space="0" w:color="407BFD"/>
              <w:bottom w:val="single" w:sz="4" w:space="0" w:color="407BFD"/>
              <w:right w:val="single" w:sz="4" w:space="0" w:color="407BFD"/>
            </w:tcBorders>
            <w:shd w:val="clear" w:color="auto" w:fill="F0F5FF"/>
            <w:tcMar>
              <w:top w:w="160" w:type="dxa"/>
              <w:left w:w="200" w:type="dxa"/>
              <w:bottom w:w="160" w:type="dxa"/>
              <w:right w:w="200" w:type="dxa"/>
            </w:tcMar>
          </w:tcPr>
          <w:p w14:paraId="0B38355C" w14:textId="77777777" w:rsidR="006D31E6" w:rsidRDefault="00000000">
            <w:pPr>
              <w:spacing w:after="80"/>
            </w:pPr>
            <w:r>
              <w:rPr>
                <w:b/>
                <w:bCs/>
                <w:color w:val="407BFD"/>
              </w:rPr>
              <w:t>Rule of thumb for client data</w:t>
            </w:r>
          </w:p>
          <w:p w14:paraId="0663B895" w14:textId="77777777" w:rsidR="006D31E6" w:rsidRDefault="00000000">
            <w:pPr>
              <w:spacing w:after="60"/>
            </w:pPr>
            <w:r>
              <w:rPr>
                <w:sz w:val="21"/>
                <w:szCs w:val="21"/>
              </w:rPr>
              <w:lastRenderedPageBreak/>
              <w:t>Never use a free or personal-paid consumer tier (Claude Pro/Max, ChatGPT Plus, Gemini Advanced, etc.) for any task involving TRI, even briefly.</w:t>
            </w:r>
          </w:p>
          <w:p w14:paraId="3AACDB69" w14:textId="77777777" w:rsidR="006D31E6" w:rsidRDefault="00000000">
            <w:pPr>
              <w:spacing w:after="60"/>
            </w:pPr>
            <w:r>
              <w:rPr>
                <w:sz w:val="21"/>
                <w:szCs w:val="21"/>
              </w:rPr>
              <w:t>Only use Business, Enterprise, or API access with a signed Data Processing Agreement (DPA) that restricts the vendor from using firm inputs for training or product improvement.</w:t>
            </w:r>
          </w:p>
          <w:p w14:paraId="146A163A" w14:textId="77777777" w:rsidR="006D31E6" w:rsidRDefault="00000000">
            <w:pPr>
              <w:spacing w:after="60"/>
            </w:pPr>
            <w:r>
              <w:rPr>
                <w:sz w:val="21"/>
                <w:szCs w:val="21"/>
              </w:rPr>
              <w:t>If the firm cannot confirm in writing that a tool is non-training and time-limited in retention, treat all data sent to it as a disclosure requiring consent.</w:t>
            </w:r>
          </w:p>
        </w:tc>
      </w:tr>
    </w:tbl>
    <w:p w14:paraId="624E2645" w14:textId="77777777" w:rsidR="006D31E6" w:rsidRDefault="00000000">
      <w:pPr>
        <w:spacing w:before="200" w:after="100"/>
      </w:pPr>
      <w:r>
        <w:rPr>
          <w:b/>
          <w:bCs/>
        </w:rPr>
        <w:lastRenderedPageBreak/>
        <w:t>Approved tools for this firm (to be completed by firm management):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6D31E6" w14:paraId="3831866D" w14:textId="77777777">
        <w:trPr>
          <w:tblHeader/>
        </w:trPr>
        <w:tc>
          <w:tcPr>
            <w:tcW w:w="3120" w:type="dxa"/>
            <w:tcBorders>
              <w:top w:val="single" w:sz="4" w:space="0" w:color="D1D9E6"/>
              <w:left w:val="single" w:sz="4" w:space="0" w:color="D1D9E6"/>
              <w:bottom w:val="single" w:sz="4" w:space="0" w:color="D1D9E6"/>
              <w:right w:val="single" w:sz="4" w:space="0" w:color="D1D9E6"/>
            </w:tcBorders>
            <w:shd w:val="clear" w:color="auto" w:fill="2D5BBD"/>
            <w:tcMar>
              <w:top w:w="100" w:type="dxa"/>
              <w:left w:w="120" w:type="dxa"/>
              <w:bottom w:w="100" w:type="dxa"/>
              <w:right w:w="120" w:type="dxa"/>
            </w:tcMar>
          </w:tcPr>
          <w:p w14:paraId="6B1F1C93" w14:textId="77777777" w:rsidR="006D31E6" w:rsidRDefault="00000000">
            <w:r>
              <w:rPr>
                <w:b/>
                <w:bCs/>
                <w:color w:val="FFFFFF"/>
                <w:sz w:val="21"/>
                <w:szCs w:val="21"/>
              </w:rPr>
              <w:t>Tool / Platform</w:t>
            </w:r>
          </w:p>
        </w:tc>
        <w:tc>
          <w:tcPr>
            <w:tcW w:w="3120" w:type="dxa"/>
            <w:tcBorders>
              <w:top w:val="single" w:sz="4" w:space="0" w:color="D1D9E6"/>
              <w:left w:val="single" w:sz="4" w:space="0" w:color="D1D9E6"/>
              <w:bottom w:val="single" w:sz="4" w:space="0" w:color="D1D9E6"/>
              <w:right w:val="single" w:sz="4" w:space="0" w:color="D1D9E6"/>
            </w:tcBorders>
            <w:shd w:val="clear" w:color="auto" w:fill="2D5BBD"/>
            <w:tcMar>
              <w:top w:w="100" w:type="dxa"/>
              <w:left w:w="120" w:type="dxa"/>
              <w:bottom w:w="100" w:type="dxa"/>
              <w:right w:w="120" w:type="dxa"/>
            </w:tcMar>
          </w:tcPr>
          <w:p w14:paraId="239828BE" w14:textId="77777777" w:rsidR="006D31E6" w:rsidRDefault="00000000">
            <w:r>
              <w:rPr>
                <w:b/>
                <w:bCs/>
                <w:color w:val="FFFFFF"/>
                <w:sz w:val="21"/>
                <w:szCs w:val="21"/>
              </w:rPr>
              <w:t>Approved Use</w:t>
            </w:r>
          </w:p>
        </w:tc>
        <w:tc>
          <w:tcPr>
            <w:tcW w:w="3120" w:type="dxa"/>
            <w:tcBorders>
              <w:top w:val="single" w:sz="4" w:space="0" w:color="D1D9E6"/>
              <w:left w:val="single" w:sz="4" w:space="0" w:color="D1D9E6"/>
              <w:bottom w:val="single" w:sz="4" w:space="0" w:color="D1D9E6"/>
              <w:right w:val="single" w:sz="4" w:space="0" w:color="D1D9E6"/>
            </w:tcBorders>
            <w:shd w:val="clear" w:color="auto" w:fill="2D5BBD"/>
            <w:tcMar>
              <w:top w:w="100" w:type="dxa"/>
              <w:left w:w="120" w:type="dxa"/>
              <w:bottom w:w="100" w:type="dxa"/>
              <w:right w:w="120" w:type="dxa"/>
            </w:tcMar>
          </w:tcPr>
          <w:p w14:paraId="1F5FC5BC" w14:textId="77777777" w:rsidR="006D31E6" w:rsidRDefault="00000000">
            <w:r>
              <w:rPr>
                <w:b/>
                <w:bCs/>
                <w:color w:val="FFFFFF"/>
                <w:sz w:val="21"/>
                <w:szCs w:val="21"/>
              </w:rPr>
              <w:t>DPA on File?</w:t>
            </w:r>
          </w:p>
        </w:tc>
      </w:tr>
      <w:tr w:rsidR="006D31E6" w14:paraId="6C642C0F" w14:textId="77777777">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5EFEE83A" w14:textId="77777777" w:rsidR="006D31E6" w:rsidRDefault="006D31E6"/>
        </w:tc>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741FD0BC" w14:textId="77777777" w:rsidR="006D31E6" w:rsidRDefault="006D31E6"/>
        </w:tc>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0397AA12" w14:textId="77777777" w:rsidR="006D31E6" w:rsidRDefault="006D31E6"/>
        </w:tc>
      </w:tr>
      <w:tr w:rsidR="006D31E6" w14:paraId="32A003E4" w14:textId="77777777">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59FB2C24" w14:textId="77777777" w:rsidR="006D31E6" w:rsidRDefault="006D31E6"/>
        </w:tc>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13D9421D" w14:textId="77777777" w:rsidR="006D31E6" w:rsidRDefault="006D31E6"/>
        </w:tc>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10CA0EA1" w14:textId="77777777" w:rsidR="006D31E6" w:rsidRDefault="006D31E6"/>
        </w:tc>
      </w:tr>
      <w:tr w:rsidR="006D31E6" w14:paraId="23C7C806" w14:textId="77777777">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3FC20DA8" w14:textId="77777777" w:rsidR="006D31E6" w:rsidRDefault="006D31E6"/>
        </w:tc>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1292B8FB" w14:textId="77777777" w:rsidR="006D31E6" w:rsidRDefault="006D31E6"/>
        </w:tc>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21CF2B95" w14:textId="77777777" w:rsidR="006D31E6" w:rsidRDefault="006D31E6"/>
        </w:tc>
      </w:tr>
      <w:tr w:rsidR="006D31E6" w14:paraId="5F72E6D0" w14:textId="77777777">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4251604D" w14:textId="77777777" w:rsidR="006D31E6" w:rsidRDefault="006D31E6"/>
        </w:tc>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46E846CF" w14:textId="77777777" w:rsidR="006D31E6" w:rsidRDefault="006D31E6"/>
        </w:tc>
        <w:tc>
          <w:tcPr>
            <w:tcW w:w="3120" w:type="dxa"/>
            <w:tcBorders>
              <w:top w:val="single" w:sz="4" w:space="0" w:color="D1D9E6"/>
              <w:left w:val="single" w:sz="4" w:space="0" w:color="D1D9E6"/>
              <w:bottom w:val="single" w:sz="4" w:space="0" w:color="D1D9E6"/>
              <w:right w:val="single" w:sz="4" w:space="0" w:color="D1D9E6"/>
            </w:tcBorders>
            <w:tcMar>
              <w:top w:w="140" w:type="dxa"/>
              <w:left w:w="120" w:type="dxa"/>
              <w:bottom w:w="140" w:type="dxa"/>
              <w:right w:w="120" w:type="dxa"/>
            </w:tcMar>
          </w:tcPr>
          <w:p w14:paraId="57F14F0F" w14:textId="77777777" w:rsidR="006D31E6" w:rsidRDefault="006D31E6"/>
        </w:tc>
      </w:tr>
    </w:tbl>
    <w:p w14:paraId="560D96C6" w14:textId="77777777" w:rsidR="006D31E6" w:rsidRDefault="00000000">
      <w:r>
        <w:br w:type="page"/>
      </w:r>
    </w:p>
    <w:p w14:paraId="625E0245" w14:textId="77777777" w:rsidR="006D31E6" w:rsidRDefault="00000000">
      <w:pPr>
        <w:pStyle w:val="Heading1"/>
      </w:pPr>
      <w:r>
        <w:lastRenderedPageBreak/>
        <w:t>4. Prompt Hygiene Rules</w:t>
      </w:r>
    </w:p>
    <w:p w14:paraId="4B89F0D3" w14:textId="77777777" w:rsidR="006D31E6" w:rsidRDefault="00000000">
      <w:pPr>
        <w:spacing w:after="160"/>
      </w:pPr>
      <w:r>
        <w:t>Regardless of which tool is approved, staff should minimize TRI in every AI interaction by policy:</w:t>
      </w:r>
    </w:p>
    <w:p w14:paraId="05E8ADBD" w14:textId="77777777" w:rsidR="006D31E6" w:rsidRDefault="00000000">
      <w:pPr>
        <w:pStyle w:val="ListParagraph"/>
        <w:numPr>
          <w:ilvl w:val="0"/>
          <w:numId w:val="3"/>
        </w:numPr>
        <w:spacing w:after="100"/>
      </w:pPr>
      <w:r>
        <w:t>Do not input Social Security Numbers, dates of birth, full home addresses, or other unnecessary identifiers unless the firm has a documented authorization or consent position for that specific use.</w:t>
      </w:r>
    </w:p>
    <w:p w14:paraId="4A5DF264" w14:textId="77777777" w:rsidR="006D31E6" w:rsidRDefault="00000000">
      <w:pPr>
        <w:pStyle w:val="ListParagraph"/>
        <w:numPr>
          <w:ilvl w:val="0"/>
          <w:numId w:val="3"/>
        </w:numPr>
        <w:spacing w:after="100"/>
      </w:pPr>
      <w:r>
        <w:t>Prefer sanitized fact patterns where feasible. Example: “taxpayer has W-2 wages of $X and Schedule C income of $Y” rather than the client's name and full return.</w:t>
      </w:r>
    </w:p>
    <w:p w14:paraId="1128D227" w14:textId="77777777" w:rsidR="006D31E6" w:rsidRDefault="00000000">
      <w:pPr>
        <w:pStyle w:val="ListParagraph"/>
        <w:numPr>
          <w:ilvl w:val="0"/>
          <w:numId w:val="3"/>
        </w:numPr>
        <w:spacing w:after="100"/>
      </w:pPr>
      <w:r>
        <w:t>Never paste an entire client return, K-1, or source document into a consumer-tier AI tool, even temporarily.</w:t>
      </w:r>
    </w:p>
    <w:p w14:paraId="6612E441" w14:textId="77777777" w:rsidR="006D31E6" w:rsidRDefault="00000000">
      <w:pPr>
        <w:pStyle w:val="ListParagraph"/>
        <w:numPr>
          <w:ilvl w:val="0"/>
          <w:numId w:val="3"/>
        </w:numPr>
        <w:spacing w:after="100"/>
      </w:pPr>
      <w:r>
        <w:t>Treat AI chat history and saved conversations as client files. They are subject to the same retention and confidentiality obligations as paper workpapers.</w:t>
      </w:r>
    </w:p>
    <w:p w14:paraId="7DCB7364" w14:textId="77777777" w:rsidR="006D31E6" w:rsidRDefault="00000000">
      <w:pPr>
        <w:pStyle w:val="ListParagraph"/>
        <w:numPr>
          <w:ilvl w:val="0"/>
          <w:numId w:val="3"/>
        </w:numPr>
        <w:spacing w:after="100"/>
      </w:pPr>
      <w:r>
        <w:t>If a question requires identifying details to get a useful answer, escalate to the firm's designated reviewer (Section 7) before proceeding.</w:t>
      </w:r>
    </w:p>
    <w:p w14:paraId="0116C51C" w14:textId="77777777" w:rsidR="006D31E6" w:rsidRDefault="00000000">
      <w:pPr>
        <w:pStyle w:val="Heading1"/>
      </w:pPr>
      <w:r>
        <w:t>5. Vendor Governance</w:t>
      </w:r>
    </w:p>
    <w:p w14:paraId="6194675C" w14:textId="77777777" w:rsidR="006D31E6" w:rsidRDefault="00000000">
      <w:pPr>
        <w:spacing w:after="160"/>
      </w:pPr>
      <w:r>
        <w:t>For any third-party AI system that may receive TRI, the firm should seek the following in the vendor's contract or terms of service:</w:t>
      </w:r>
    </w:p>
    <w:p w14:paraId="154E2A5D" w14:textId="77777777" w:rsidR="006D31E6" w:rsidRDefault="00000000">
      <w:pPr>
        <w:pStyle w:val="ListParagraph"/>
        <w:numPr>
          <w:ilvl w:val="0"/>
          <w:numId w:val="2"/>
        </w:numPr>
        <w:spacing w:after="80"/>
      </w:pPr>
      <w:r>
        <w:t>Restrictions on vendor “independent use” of inputs/outputs, including training or product improvement, unless the firm has specific, compliant consents in place.</w:t>
      </w:r>
    </w:p>
    <w:p w14:paraId="72BBECFA" w14:textId="77777777" w:rsidR="006D31E6" w:rsidRDefault="00000000">
      <w:pPr>
        <w:pStyle w:val="ListParagraph"/>
        <w:numPr>
          <w:ilvl w:val="0"/>
          <w:numId w:val="2"/>
        </w:numPr>
        <w:spacing w:after="80"/>
      </w:pPr>
      <w:r>
        <w:t>Strict confidentiality terms and limits on onward disclosure to subprocessors.</w:t>
      </w:r>
    </w:p>
    <w:p w14:paraId="2E7F1FB1" w14:textId="77777777" w:rsidR="006D31E6" w:rsidRDefault="00000000">
      <w:pPr>
        <w:pStyle w:val="ListParagraph"/>
        <w:numPr>
          <w:ilvl w:val="0"/>
          <w:numId w:val="2"/>
        </w:numPr>
        <w:spacing w:after="80"/>
      </w:pPr>
      <w:r>
        <w:t>Defined retention limits and deletion/return commitments.</w:t>
      </w:r>
    </w:p>
    <w:p w14:paraId="5DEFA04B" w14:textId="77777777" w:rsidR="006D31E6" w:rsidRDefault="00000000">
      <w:pPr>
        <w:pStyle w:val="ListParagraph"/>
        <w:numPr>
          <w:ilvl w:val="0"/>
          <w:numId w:val="2"/>
        </w:numPr>
        <w:spacing w:after="80"/>
      </w:pPr>
      <w:r>
        <w:t>Clarity that the vendor is acting as a service provider supporting the firm's permitted purpose — not an independent recipient of the data.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31E6" w14:paraId="174E7EE4" w14:textId="77777777">
        <w:tc>
          <w:tcPr>
            <w:tcW w:w="9360" w:type="dxa"/>
            <w:tcBorders>
              <w:top w:val="single" w:sz="4" w:space="0" w:color="407BFD"/>
              <w:left w:val="single" w:sz="24" w:space="0" w:color="407BFD"/>
              <w:bottom w:val="single" w:sz="4" w:space="0" w:color="407BFD"/>
              <w:right w:val="single" w:sz="4" w:space="0" w:color="407BFD"/>
            </w:tcBorders>
            <w:shd w:val="clear" w:color="auto" w:fill="F0F5FF"/>
            <w:tcMar>
              <w:top w:w="160" w:type="dxa"/>
              <w:left w:w="200" w:type="dxa"/>
              <w:bottom w:w="160" w:type="dxa"/>
              <w:right w:w="200" w:type="dxa"/>
            </w:tcMar>
          </w:tcPr>
          <w:p w14:paraId="4CE532AA" w14:textId="77777777" w:rsidR="006D31E6" w:rsidRDefault="00000000">
            <w:pPr>
              <w:spacing w:after="80"/>
            </w:pPr>
            <w:r>
              <w:rPr>
                <w:b/>
                <w:bCs/>
                <w:color w:val="407BFD"/>
              </w:rPr>
              <w:t>Two questions to ask before sending TRI to any AI tool</w:t>
            </w:r>
          </w:p>
          <w:p w14:paraId="0FD5804C" w14:textId="77777777" w:rsidR="006D31E6" w:rsidRDefault="00000000">
            <w:pPr>
              <w:spacing w:after="60"/>
            </w:pPr>
            <w:r>
              <w:rPr>
                <w:sz w:val="21"/>
                <w:szCs w:val="21"/>
              </w:rPr>
              <w:t>1. Does the vendor contractually commit to not using your inputs/outputs for its own purposes (including training), and to retention/deletion limits consistent with your intended use?</w:t>
            </w:r>
          </w:p>
          <w:p w14:paraId="0CA7A39A" w14:textId="71753150" w:rsidR="006D31E6" w:rsidRDefault="00000000">
            <w:pPr>
              <w:spacing w:after="60"/>
            </w:pPr>
            <w:r>
              <w:rPr>
                <w:sz w:val="21"/>
                <w:szCs w:val="21"/>
              </w:rPr>
              <w:t>2. What exactly are you transmitting, client identifiers and full source documents, or sanitized tax attributes needed for a narrow return-prep task?</w:t>
            </w:r>
          </w:p>
          <w:p w14:paraId="163C0312" w14:textId="77777777" w:rsidR="006D31E6" w:rsidRDefault="00000000">
            <w:pPr>
              <w:spacing w:after="60"/>
            </w:pPr>
            <w:r>
              <w:rPr>
                <w:sz w:val="21"/>
                <w:szCs w:val="21"/>
              </w:rPr>
              <w:t>The answers usually determine whether the firm can support a return-prep auxiliary service posture, or whether a formal consent process is required.</w:t>
            </w:r>
          </w:p>
        </w:tc>
      </w:tr>
    </w:tbl>
    <w:p w14:paraId="3966B0E4" w14:textId="77777777" w:rsidR="006D31E6" w:rsidRDefault="00000000">
      <w:r>
        <w:br w:type="page"/>
      </w:r>
    </w:p>
    <w:p w14:paraId="339D0048" w14:textId="77777777" w:rsidR="006D31E6" w:rsidRDefault="00000000">
      <w:pPr>
        <w:pStyle w:val="Heading1"/>
      </w:pPr>
      <w:r>
        <w:lastRenderedPageBreak/>
        <w:t>6. When Consent Is Required</w:t>
      </w:r>
    </w:p>
    <w:p w14:paraId="2920A1C0" w14:textId="77777777" w:rsidR="006D31E6" w:rsidRDefault="00000000">
      <w:pPr>
        <w:spacing w:after="160"/>
      </w:pPr>
      <w:r>
        <w:t>The compliance gate is straightforward: if a disclosure or use of TRI is specifically authorized under Treas. Reg. §301.7216-2, it may proceed without taxpayer consent. Otherwise, the firm generally must obtain a written consent that meets Treas. Reg. §301.7216-3 before any disclosure or use occurs.</w:t>
      </w:r>
    </w:p>
    <w:p w14:paraId="63EA0330" w14:textId="77777777" w:rsidR="006D31E6" w:rsidRDefault="00000000">
      <w:pPr>
        <w:spacing w:after="160"/>
      </w:pPr>
      <w:r>
        <w:t>A compliant written consent must identify the taxpayer and preparer, describe the TRI involved, state the purpose and recipient, and be signed and dated by the taxpayer.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31E6" w14:paraId="304EB784" w14:textId="77777777">
        <w:tc>
          <w:tcPr>
            <w:tcW w:w="9360" w:type="dxa"/>
            <w:tcBorders>
              <w:top w:val="single" w:sz="4" w:space="0" w:color="2D5BBD"/>
              <w:left w:val="single" w:sz="24" w:space="0" w:color="2D5BBD"/>
              <w:bottom w:val="single" w:sz="4" w:space="0" w:color="2D5BBD"/>
              <w:right w:val="single" w:sz="4" w:space="0" w:color="2D5BBD"/>
            </w:tcBorders>
            <w:shd w:val="clear" w:color="auto" w:fill="F0F5FF"/>
            <w:tcMar>
              <w:top w:w="160" w:type="dxa"/>
              <w:left w:w="200" w:type="dxa"/>
              <w:bottom w:w="160" w:type="dxa"/>
              <w:right w:w="200" w:type="dxa"/>
            </w:tcMar>
          </w:tcPr>
          <w:p w14:paraId="23892A5F" w14:textId="77777777" w:rsidR="006D31E6" w:rsidRDefault="00000000">
            <w:pPr>
              <w:spacing w:after="80"/>
            </w:pPr>
            <w:r>
              <w:rPr>
                <w:b/>
                <w:bCs/>
                <w:color w:val="2D5BBD"/>
              </w:rPr>
              <w:t>Form 1040-series clients: additional requirements</w:t>
            </w:r>
          </w:p>
          <w:p w14:paraId="602B417F" w14:textId="77777777" w:rsidR="006D31E6" w:rsidRDefault="00000000">
            <w:pPr>
              <w:spacing w:after="60"/>
            </w:pPr>
            <w:r>
              <w:rPr>
                <w:sz w:val="21"/>
                <w:szCs w:val="21"/>
              </w:rPr>
              <w:t>For individual clients filing Form 1040-series returns, the IRS has published additional format and content requirements for consents under Rev. Proc. 2013-14, including specific rules for electronic signatures.</w:t>
            </w:r>
          </w:p>
          <w:p w14:paraId="767C8DCF" w14:textId="77777777" w:rsidR="006D31E6" w:rsidRDefault="00000000">
            <w:pPr>
              <w:spacing w:after="60"/>
            </w:pPr>
            <w:r>
              <w:rPr>
                <w:sz w:val="21"/>
                <w:szCs w:val="21"/>
              </w:rPr>
              <w:t>If your firm collects consent electronically (portal, click-through, e-signature), confirm the process meets the Rev. Proc. 2013-14 requirements.</w:t>
            </w:r>
          </w:p>
          <w:p w14:paraId="235934E3" w14:textId="77777777" w:rsidR="006D31E6" w:rsidRDefault="00000000">
            <w:pPr>
              <w:spacing w:after="60"/>
            </w:pPr>
            <w:r>
              <w:rPr>
                <w:sz w:val="21"/>
                <w:szCs w:val="21"/>
              </w:rPr>
              <w:t>Caution: legacy 7216 consent templates may still reflect older transition-period language addressed in Rev. Proc. 2013-19. Confirm your firm's templates use current, post-2014 language.</w:t>
            </w:r>
          </w:p>
        </w:tc>
      </w:tr>
    </w:tbl>
    <w:p w14:paraId="56E30EA1" w14:textId="77777777" w:rsidR="006D31E6" w:rsidRDefault="00000000">
      <w:pPr>
        <w:pStyle w:val="Heading1"/>
      </w:pPr>
      <w:r>
        <w:t>7. Staff Training &amp; Escalation</w:t>
      </w:r>
    </w:p>
    <w:p w14:paraId="5FB521DC" w14:textId="77777777" w:rsidR="006D31E6" w:rsidRDefault="00000000">
      <w:pPr>
        <w:spacing w:after="160"/>
      </w:pPr>
      <w:r>
        <w:t>Policy is only as strong as the people applying it day to day. Before any staff member uses an AI tool on client work, the firm should confirm they understand:</w:t>
      </w:r>
    </w:p>
    <w:p w14:paraId="42E0D9ED" w14:textId="77777777" w:rsidR="006D31E6" w:rsidRDefault="00000000">
      <w:pPr>
        <w:pStyle w:val="ListParagraph"/>
        <w:numPr>
          <w:ilvl w:val="0"/>
          <w:numId w:val="2"/>
        </w:numPr>
        <w:spacing w:after="80"/>
      </w:pPr>
      <w:r>
        <w:t>What counts as TRI in practice — not just the return itself, but source documents, organizer responses, and notes derived from client conversations.</w:t>
      </w:r>
    </w:p>
    <w:p w14:paraId="47152D3E" w14:textId="77777777" w:rsidR="006D31E6" w:rsidRDefault="00000000">
      <w:pPr>
        <w:pStyle w:val="ListParagraph"/>
        <w:numPr>
          <w:ilvl w:val="0"/>
          <w:numId w:val="2"/>
        </w:numPr>
        <w:spacing w:after="80"/>
      </w:pPr>
      <w:r>
        <w:t>What is prohibited to paste or upload into any AI tool without prior review.</w:t>
      </w:r>
    </w:p>
    <w:p w14:paraId="12757CB1" w14:textId="77777777" w:rsidR="006D31E6" w:rsidRDefault="00000000">
      <w:pPr>
        <w:pStyle w:val="ListParagraph"/>
        <w:numPr>
          <w:ilvl w:val="0"/>
          <w:numId w:val="2"/>
        </w:numPr>
        <w:spacing w:after="80"/>
      </w:pPr>
      <w:r>
        <w:t>Which tools are currently approved (Section 3) and which are not.</w:t>
      </w:r>
    </w:p>
    <w:p w14:paraId="403D4B9F" w14:textId="77777777" w:rsidR="006D31E6" w:rsidRDefault="00000000">
      <w:pPr>
        <w:pStyle w:val="ListParagraph"/>
        <w:numPr>
          <w:ilvl w:val="0"/>
          <w:numId w:val="2"/>
        </w:numPr>
        <w:spacing w:after="80"/>
      </w:pPr>
      <w:r>
        <w:t>When a workflow needs escalation for an exception or consent determination before proceeding.</w:t>
      </w:r>
    </w:p>
    <w:p w14:paraId="403D4B9A" w14:textId="0E363718" w:rsidR="006D31E6" w:rsidRDefault="00000000">
      <w:pPr>
        <w:spacing w:after="160"/>
      </w:pPr>
      <w:r>
        <w:t>This obligation exists alongside §7216 and is independent of it. Circular 230 §10.22 requires due diligence as to accuracy regardless of whether AI was involved in the research, and §10.51(a)(13) sanctions practitioners for false opinions resulting from gross incompetence. AI-fabricated citations are not a hypothetical risk: courts have sanctioned attorneys for AI-fabricated case citations in amounts exceeding $145,000 combined in the first quarter of 2026 alone, and some courts now assess flat per-citation penalties. A fabricated authority used to support a return position can also trigger IRC §6694 preparer penalties. For every AI-assisted research task, keep a record of what was asked, what was verified, against what source, and who signed off this is the documentation trail that demonstrates due diligence if a position is ever questioned.</w:t>
      </w:r>
    </w:p>
    <w:p w14:paraId="01000050" w14:textId="77777777" w:rsidR="00000000" w:rsidRDefault="00000000">
      <w:pPr>
        <w:spacing w:after="160"/>
      </w:pPr>
      <w:r>
        <w:rPr>
          <w:b/>
          <w:bCs/>
        </w:rPr>
        <w:t>State law and professional organization guidance.</w:t>
      </w:r>
      <w:r>
        <w:t xml:space="preserve"> Federal tax rules are the baseline, not the ceiling. Depending on the firm and its clients, AI use may also implicate state accountancy board rules, state bar rules (where the firm employs or works with attorneys), state privacy statutes, data-breach notification laws, and consumer protection rules. Several states, including California, Colorado, Illinois, and Utah, </w:t>
      </w:r>
      <w:r>
        <w:lastRenderedPageBreak/>
        <w:t xml:space="preserve">have enacted AI governance legislation. Professional organizations including the AICPA and ABA have issued additional guidance. The firm’s AI </w:t>
      </w:r>
      <w:r>
        <w:t>policy should be reviewed at least annually against any updated federal, state, or professional guidance that applies in the jurisdictions where the firm operates and where clients are located. The designated reviewer is responsible for flagging material changes.</w:t>
      </w:r>
    </w:p>
    <w:p w14:paraId="0A8AEAE2" w14:textId="77777777" w:rsidR="006D31E6" w:rsidRDefault="00000000">
      <w:pPr>
        <w:spacing w:after="160"/>
      </w:pPr>
      <w:r>
        <w:rPr>
          <w:b/>
          <w:bCs/>
        </w:rPr>
        <w:t>Designated reviewer for AI/§7216 questions: ____________________________</w:t>
      </w:r>
    </w:p>
    <w:p w14:paraId="0E618498" w14:textId="77777777" w:rsidR="006D31E6" w:rsidRDefault="00000000">
      <w:pPr>
        <w:spacing w:after="160"/>
      </w:pPr>
      <w:r>
        <w:rPr>
          <w:b/>
          <w:bCs/>
        </w:rPr>
        <w:t>Escalation contact / email: ____________________________</w:t>
      </w:r>
    </w:p>
    <w:p w14:paraId="4E28804D" w14:textId="77777777" w:rsidR="006D31E6" w:rsidRDefault="00000000">
      <w:pPr>
        <w:pStyle w:val="Heading1"/>
      </w:pPr>
      <w:r>
        <w:t>8. Quick Decision Reference</w:t>
      </w:r>
    </w:p>
    <w:p w14:paraId="02CEF5F3" w14:textId="77777777" w:rsidR="006D31E6" w:rsidRDefault="00000000">
      <w:pPr>
        <w:spacing w:after="160"/>
      </w:pPr>
      <w:r>
        <w:t>Before using any AI tool on a task involving client data, work through these steps in order:</w:t>
      </w:r>
    </w:p>
    <w:p w14:paraId="58BE14F0" w14:textId="77777777" w:rsidR="006D31E6" w:rsidRDefault="00000000">
      <w:pPr>
        <w:pStyle w:val="ListParagraph"/>
        <w:numPr>
          <w:ilvl w:val="0"/>
          <w:numId w:val="4"/>
        </w:numPr>
        <w:spacing w:after="100"/>
      </w:pPr>
      <w:r>
        <w:t>Identify the bucket. Is this return preparation (A), firm operations (B), or marketing/training data (C)?</w:t>
      </w:r>
    </w:p>
    <w:p w14:paraId="0F3614BC" w14:textId="77777777" w:rsidR="006D31E6" w:rsidRDefault="00000000">
      <w:pPr>
        <w:pStyle w:val="ListParagraph"/>
        <w:numPr>
          <w:ilvl w:val="0"/>
          <w:numId w:val="4"/>
        </w:numPr>
        <w:spacing w:after="100"/>
      </w:pPr>
      <w:r>
        <w:t>Identify the tool tier. Is this an approved Business/Enterprise/API tool with a signed DPA, or a free/personal-paid consumer account?</w:t>
      </w:r>
    </w:p>
    <w:p w14:paraId="28C616BD" w14:textId="1445F166" w:rsidR="006D31E6" w:rsidRDefault="00000000">
      <w:pPr>
        <w:pStyle w:val="ListParagraph"/>
        <w:numPr>
          <w:ilvl w:val="0"/>
          <w:numId w:val="4"/>
        </w:numPr>
        <w:spacing w:after="100"/>
      </w:pPr>
      <w:r>
        <w:t>If Bucket B: remove all TRI before proceeding. No exception applies there is no reason to involve client data.</w:t>
      </w:r>
    </w:p>
    <w:p w14:paraId="52630B1A" w14:textId="77777777" w:rsidR="006D31E6" w:rsidRDefault="00000000">
      <w:pPr>
        <w:pStyle w:val="ListParagraph"/>
        <w:numPr>
          <w:ilvl w:val="0"/>
          <w:numId w:val="4"/>
        </w:numPr>
        <w:spacing w:after="100"/>
      </w:pPr>
      <w:r>
        <w:t>If Bucket A and the tool is approved: proceed using sanitized inputs per Section 4. Document the workflow per Section 5 if not already documented.</w:t>
      </w:r>
    </w:p>
    <w:p w14:paraId="3CADD85C" w14:textId="77777777" w:rsidR="006D31E6" w:rsidRDefault="00000000">
      <w:pPr>
        <w:pStyle w:val="ListParagraph"/>
        <w:numPr>
          <w:ilvl w:val="0"/>
          <w:numId w:val="4"/>
        </w:numPr>
        <w:spacing w:after="100"/>
      </w:pPr>
      <w:r>
        <w:t>If Bucket A and exception applicability is unclear, or Bucket C: stop. Consent is required before proceeding. Contact the designated reviewer.</w:t>
      </w:r>
    </w:p>
    <w:p w14:paraId="3CADD85D" w14:textId="79628E60" w:rsidR="006D31E6" w:rsidRDefault="00000000">
      <w:pPr>
        <w:pStyle w:val="ListParagraph"/>
        <w:numPr>
          <w:ilvl w:val="0"/>
          <w:numId w:val="4"/>
        </w:numPr>
        <w:spacing w:after="100"/>
      </w:pPr>
      <w:r>
        <w:t>Do not proceed with any Bucket C use until a signed, specific consent meeting Treas. Reg. §301.7216-3 is on file for that exact use. A consent obtained for one Bucket C purpose (e.g., marketing) does not cover another (e.g., model training) treat each as requiring its own consent.</w:t>
      </w:r>
    </w:p>
    <w:p w14:paraId="74521B2F" w14:textId="77777777" w:rsidR="006D31E6" w:rsidRDefault="00000000">
      <w:pPr>
        <w:pStyle w:val="ListParagraph"/>
        <w:numPr>
          <w:ilvl w:val="0"/>
          <w:numId w:val="4"/>
        </w:numPr>
        <w:spacing w:after="100"/>
      </w:pPr>
      <w:r>
        <w:t>If consent is required and the client files Form 1040-series returns: use the firm's Rev. Proc. 2013-14 compliant consent process.</w:t>
      </w:r>
    </w:p>
    <w:p w14:paraId="0CE9CB25" w14:textId="77777777" w:rsidR="006D31E6" w:rsidRDefault="006D31E6">
      <w:pPr>
        <w:spacing w:before="300"/>
      </w:pPr>
    </w:p>
    <w:p w14:paraId="01000001" w14:textId="77777777" w:rsidR="00000000" w:rsidRDefault="00000000">
      <w:pPr>
        <w:pStyle w:val="Heading1"/>
      </w:pPr>
      <w:r>
        <w:t>9. Due Diligence on AI Output (Circular 230 §10.22)</w:t>
      </w:r>
    </w:p>
    <w:p w14:paraId="01000002" w14:textId="77777777" w:rsidR="00000000" w:rsidRDefault="00000000">
      <w:pPr>
        <w:spacing w:after="160"/>
      </w:pPr>
      <w:r>
        <w:t>IRS Issue Number 2026-19 makes clear that Circular 230 §10.22 applies in full to AI-assisted work. A practitioner must exercise due diligence in preparing, approving, and filing returns and other papers relating to IRS matters, and in determining the correctness of oral or written representations made to clients or Treasury. That duty does not change because AI helped produce a first draft.</w:t>
      </w:r>
    </w:p>
    <w:p w14:paraId="01000003" w14:textId="77777777" w:rsidR="00000000" w:rsidRDefault="00000000">
      <w:pPr>
        <w:spacing w:after="100"/>
      </w:pPr>
      <w:r>
        <w:rPr>
          <w:b/>
          <w:bCs/>
        </w:rPr>
        <w:t>Operating rule: treat AI output as an unreviewed staff draft.</w:t>
      </w:r>
      <w:r>
        <w:t xml:space="preserve"> It may save time and improve organization, but it is not ready to send until a qualified professional reviews and approves it. A polished answer from an AI system is not the same as a reliable answer.</w:t>
      </w:r>
    </w:p>
    <w:p w14:paraId="01000004" w14:textId="77777777" w:rsidR="00000000" w:rsidRDefault="00000000">
      <w:pPr>
        <w:spacing w:after="80"/>
      </w:pPr>
      <w:r>
        <w:lastRenderedPageBreak/>
        <w:t>Before any AI-assisted work product is delivered to a client or submitted to the IRS, the reviewing practitioner must confirm each of the following:</w:t>
      </w:r>
    </w:p>
    <w:p w14:paraId="01000005" w14:textId="77777777" w:rsidR="00000000" w:rsidRDefault="00000000">
      <w:pPr>
        <w:pStyle w:val="ListParagraph"/>
        <w:numPr>
          <w:ilvl w:val="0"/>
          <w:numId w:val="2"/>
        </w:numPr>
        <w:spacing w:after="80"/>
      </w:pPr>
      <w:r>
        <w:t>Facts are accurate and drawn from the client file, not assumed by the AI.</w:t>
      </w:r>
    </w:p>
    <w:p w14:paraId="01000006" w14:textId="77777777" w:rsidR="00000000" w:rsidRDefault="00000000">
      <w:pPr>
        <w:pStyle w:val="ListParagraph"/>
        <w:numPr>
          <w:ilvl w:val="0"/>
          <w:numId w:val="2"/>
        </w:numPr>
        <w:spacing w:after="80"/>
      </w:pPr>
      <w:r>
        <w:t>Legal citations exist, the citation is correct, the quoted language is accurate, the authority remains valid, and it supports the stated proposition.</w:t>
      </w:r>
    </w:p>
    <w:p w14:paraId="01000007" w14:textId="77777777" w:rsidR="00000000" w:rsidRDefault="00000000">
      <w:pPr>
        <w:pStyle w:val="ListParagraph"/>
        <w:numPr>
          <w:ilvl w:val="0"/>
          <w:numId w:val="2"/>
        </w:numPr>
        <w:spacing w:after="80"/>
      </w:pPr>
      <w:r>
        <w:t>Calculations have been independently recomputed. AI-generated math must be verified, not accepted as output.</w:t>
      </w:r>
    </w:p>
    <w:p w14:paraId="01000008" w14:textId="77777777" w:rsidR="00000000" w:rsidRDefault="00000000">
      <w:pPr>
        <w:pStyle w:val="ListParagraph"/>
        <w:numPr>
          <w:ilvl w:val="0"/>
          <w:numId w:val="2"/>
        </w:numPr>
        <w:spacing w:after="80"/>
      </w:pPr>
      <w:r>
        <w:t>Assumptions are disclosed, not embedded silently in the output.</w:t>
      </w:r>
    </w:p>
    <w:p w14:paraId="01000009" w14:textId="77777777" w:rsidR="00000000" w:rsidRDefault="00000000">
      <w:pPr>
        <w:pStyle w:val="ListParagraph"/>
        <w:numPr>
          <w:ilvl w:val="0"/>
          <w:numId w:val="2"/>
        </w:numPr>
        <w:spacing w:after="80"/>
      </w:pPr>
      <w:r>
        <w:t>Legal conclusions are the practitioner’s own, grounded in verified authority, not the machine’s untested text.</w:t>
      </w:r>
    </w:p>
    <w:p w14:paraId="0100000A" w14:textId="77777777" w:rsidR="00000000" w:rsidRDefault="00000000">
      <w:pPr>
        <w:spacing w:after="160"/>
      </w:pPr>
      <w:r>
        <w:t>If AI materially contributed to a deliverable, the workpaper file should document what was asked, what was verified, against what source, and who signed off. This is the documentation trail that demonstrates due diligence if a position is later questioned. Good intentions are not enough: the firm needs controls that people can actually follow and that create a record.</w:t>
      </w:r>
    </w:p>
    <w:p w14:paraId="0100000B" w14:textId="77777777" w:rsidR="00000000" w:rsidRDefault="00000000">
      <w:pPr>
        <w:pStyle w:val="Heading1"/>
      </w:pPr>
      <w:r>
        <w:t>10. Technological Competence (Circular 230 §10.35)</w:t>
      </w:r>
    </w:p>
    <w:p w14:paraId="0100000C" w14:textId="77777777" w:rsidR="00000000" w:rsidRDefault="00000000">
      <w:pPr>
        <w:spacing w:after="160"/>
      </w:pPr>
      <w:r>
        <w:t>Circular 230 §10.35 requires a practitioner to possess the necessary competence to practice before the IRS. IRS Issue Number 2026-19 makes clear that competence in the AI context has two parts: competence in the underlying tax law, and sufficient understanding of how the technology operates to use it responsibly. Failure to maintain that baseline of technological competence can lead to improper advice or flawed filings.</w:t>
      </w:r>
    </w:p>
    <w:p w14:paraId="0100000D" w14:textId="77777777" w:rsidR="00000000" w:rsidRDefault="00000000">
      <w:pPr>
        <w:spacing w:after="80"/>
      </w:pPr>
      <w:r>
        <w:t>This does not require every practitioner to become a software engineer. It does require that before approving any AI tool for firm use, the designated reviewer must understand and document the following:</w:t>
      </w:r>
    </w:p>
    <w:p w14:paraId="0100000E" w14:textId="77777777" w:rsidR="00000000" w:rsidRDefault="00000000">
      <w:pPr>
        <w:pStyle w:val="ListParagraph"/>
        <w:numPr>
          <w:ilvl w:val="0"/>
          <w:numId w:val="2"/>
        </w:numPr>
        <w:spacing w:after="80"/>
      </w:pPr>
      <w:r>
        <w:t>Whether the tool is general-purpose or tax-specific.</w:t>
      </w:r>
    </w:p>
    <w:p w14:paraId="0100000F" w14:textId="77777777" w:rsidR="00000000" w:rsidRDefault="00000000">
      <w:pPr>
        <w:pStyle w:val="ListParagraph"/>
        <w:numPr>
          <w:ilvl w:val="0"/>
          <w:numId w:val="2"/>
        </w:numPr>
        <w:spacing w:after="80"/>
      </w:pPr>
      <w:r>
        <w:t>Whether it cites sources, and whether those citations can be verified independently.</w:t>
      </w:r>
    </w:p>
    <w:p w14:paraId="01000010" w14:textId="77777777" w:rsidR="00000000" w:rsidRDefault="00000000">
      <w:pPr>
        <w:pStyle w:val="ListParagraph"/>
        <w:numPr>
          <w:ilvl w:val="0"/>
          <w:numId w:val="2"/>
        </w:numPr>
        <w:spacing w:after="80"/>
      </w:pPr>
      <w:r>
        <w:t>Whether it can fabricate authorities (hallucinate), and how staff are trained to detect this.</w:t>
      </w:r>
    </w:p>
    <w:p w14:paraId="01000011" w14:textId="77777777" w:rsidR="00000000" w:rsidRDefault="00000000">
      <w:pPr>
        <w:pStyle w:val="ListParagraph"/>
        <w:numPr>
          <w:ilvl w:val="0"/>
          <w:numId w:val="2"/>
        </w:numPr>
        <w:spacing w:after="80"/>
      </w:pPr>
      <w:r>
        <w:t>Whether the tool uses current law or may reflect outdated rules.</w:t>
      </w:r>
    </w:p>
    <w:p w14:paraId="01000012" w14:textId="77777777" w:rsidR="00000000" w:rsidRDefault="00000000">
      <w:pPr>
        <w:pStyle w:val="ListParagraph"/>
        <w:numPr>
          <w:ilvl w:val="0"/>
          <w:numId w:val="2"/>
        </w:numPr>
        <w:spacing w:after="80"/>
      </w:pPr>
      <w:r>
        <w:t>Whether the tool is appropriate for the specific task being performed (general drafting vs. legal research vs. return preparation).</w:t>
      </w:r>
    </w:p>
    <w:p w14:paraId="01000013" w14:textId="77777777" w:rsidR="00000000" w:rsidRDefault="00000000">
      <w:pPr>
        <w:spacing w:after="160"/>
      </w:pPr>
      <w:r>
        <w:t>This evaluation should be documented when a tool is added to the firm’s approved list (Section 3), and revisited when the vendor updates the model or its terms of service. The label “enterprise AI” is not a substitute for this diligence. The real compliance question is whether the firm has reasonably evaluated the tool for the intended use, not whether the vendor markets it as enterprise-grade.</w:t>
      </w:r>
    </w:p>
    <w:p w14:paraId="01000014" w14:textId="77777777" w:rsidR="00000000" w:rsidRDefault="00000000">
      <w:pPr>
        <w:pStyle w:val="Heading1"/>
      </w:pPr>
      <w:r>
        <w:t>11. Written Tax Advice Standards (Circular 230 §10.37)</w:t>
      </w:r>
    </w:p>
    <w:p w14:paraId="01000015" w14:textId="77777777" w:rsidR="00000000" w:rsidRDefault="00000000">
      <w:pPr>
        <w:spacing w:after="160"/>
      </w:pPr>
      <w:r>
        <w:lastRenderedPageBreak/>
        <w:t>AI is increasingly used to draft tax research memos, client emails, planning summaries, protest letters, IRS response letters, and written recommendations. When AI produces or assists in producing any of these, Circular 230 §10.37 still applies in full. Written advice on federal tax matters must be based on reasonable factual and legal assumptions, must reasonably consider all relevant facts and circumstances, must not rely unreasonably on representations or projections, must relate applicable law and autho</w:t>
      </w:r>
      <w:r>
        <w:t>rities to facts, and must not take into account the possibility that a return will not be audited.</w:t>
      </w:r>
    </w:p>
    <w:p w14:paraId="01000016" w14:textId="77777777" w:rsidR="00000000" w:rsidRDefault="00000000">
      <w:pPr>
        <w:spacing w:after="80"/>
      </w:pPr>
      <w:r>
        <w:t>AI creates particular risk in written advice because it may: assume facts not in the record, omit critical exceptions, cite outdated or invented law, fail to identify contrary authority, overstate confidence, or jump to a conclusion without a legal chain of reasoning. If the internal logic of the AI platform is opaque, reliance on its output may be unreasonable under §10.37.</w:t>
      </w:r>
    </w:p>
    <w:p w14:paraId="01000017" w14:textId="77777777" w:rsidR="00000000" w:rsidRDefault="00000000">
      <w:pPr>
        <w:spacing w:after="80"/>
      </w:pPr>
      <w:r>
        <w:rPr>
          <w:b/>
          <w:bCs/>
        </w:rPr>
        <w:t>Written advice review checklist.</w:t>
      </w:r>
      <w:r>
        <w:t xml:space="preserve"> Before any AI-assisted written advice is delivered to a client, the practitioner must confirm:</w:t>
      </w:r>
    </w:p>
    <w:p w14:paraId="01000018" w14:textId="77777777" w:rsidR="00000000" w:rsidRDefault="00000000">
      <w:pPr>
        <w:pStyle w:val="ListParagraph"/>
        <w:numPr>
          <w:ilvl w:val="0"/>
          <w:numId w:val="2"/>
        </w:numPr>
        <w:spacing w:after="80"/>
      </w:pPr>
      <w:r>
        <w:t>The facts are accurate and drawn from the engagement record.</w:t>
      </w:r>
    </w:p>
    <w:p w14:paraId="01000019" w14:textId="77777777" w:rsidR="00000000" w:rsidRDefault="00000000">
      <w:pPr>
        <w:pStyle w:val="ListParagraph"/>
        <w:numPr>
          <w:ilvl w:val="0"/>
          <w:numId w:val="2"/>
        </w:numPr>
        <w:spacing w:after="80"/>
      </w:pPr>
      <w:r>
        <w:t>All assumptions are identified and disclosed, not buried in the AI output.</w:t>
      </w:r>
    </w:p>
    <w:p w14:paraId="0100001A" w14:textId="77777777" w:rsidR="00000000" w:rsidRDefault="00000000">
      <w:pPr>
        <w:pStyle w:val="ListParagraph"/>
        <w:numPr>
          <w:ilvl w:val="0"/>
          <w:numId w:val="2"/>
        </w:numPr>
        <w:spacing w:after="80"/>
      </w:pPr>
      <w:r>
        <w:t>Every cited authority exists, has been read, remains valid, and actually supports the stated conclusion.</w:t>
      </w:r>
    </w:p>
    <w:p w14:paraId="0100001B" w14:textId="77777777" w:rsidR="00000000" w:rsidRDefault="00000000">
      <w:pPr>
        <w:pStyle w:val="ListParagraph"/>
        <w:numPr>
          <w:ilvl w:val="0"/>
          <w:numId w:val="2"/>
        </w:numPr>
        <w:spacing w:after="80"/>
      </w:pPr>
      <w:r>
        <w:t>Contrary authority has been considered where relevant and has not been omitted.</w:t>
      </w:r>
    </w:p>
    <w:p w14:paraId="0100001C" w14:textId="77777777" w:rsidR="00000000" w:rsidRDefault="00000000">
      <w:pPr>
        <w:pStyle w:val="ListParagraph"/>
        <w:numPr>
          <w:ilvl w:val="0"/>
          <w:numId w:val="2"/>
        </w:numPr>
        <w:spacing w:after="80"/>
      </w:pPr>
      <w:r>
        <w:t>The reasoning connecting law to facts is the practitioner’s own, not unexplained AI output presented as analysis.</w:t>
      </w:r>
    </w:p>
    <w:p w14:paraId="0100001D" w14:textId="77777777" w:rsidR="00000000" w:rsidRDefault="00000000">
      <w:pPr>
        <w:pStyle w:val="ListParagraph"/>
        <w:numPr>
          <w:ilvl w:val="0"/>
          <w:numId w:val="2"/>
        </w:numPr>
        <w:spacing w:after="160"/>
      </w:pPr>
      <w:r>
        <w:t>The advice does not rest on audit-probability reasoning (i.e., “this will probably not be examined”).</w:t>
      </w:r>
    </w:p>
    <w:p w14:paraId="0100001E" w14:textId="77777777" w:rsidR="00000000" w:rsidRDefault="00000000">
      <w:pPr>
        <w:pStyle w:val="Heading1"/>
      </w:pPr>
      <w:r>
        <w:t>12. Billing Integrity and AI Efficiency (Circular 230 §10.27)</w:t>
      </w:r>
    </w:p>
    <w:p w14:paraId="0100001F" w14:textId="77777777" w:rsidR="00000000" w:rsidRDefault="00000000">
      <w:pPr>
        <w:spacing w:after="160"/>
      </w:pPr>
      <w:r>
        <w:t>Circular 230 §10.27(a) prohibits a practitioner from charging an unconscionable fee in connection with any matter before the IRS. IRS Issue Number 2026-19 applies this standard directly to AI-assisted work. AI can reduce drafting and research time dramatically. That does not mean a practitioner cannot charge for judgment, expertise, review, and the value delivered. It does mean billing must remain fair and accurate.</w:t>
      </w:r>
    </w:p>
    <w:p w14:paraId="01000020" w14:textId="77777777" w:rsidR="00000000" w:rsidRDefault="00000000">
      <w:pPr>
        <w:spacing w:after="80"/>
      </w:pPr>
      <w:r>
        <w:t>The following billing practices create §10.27 risk and are prohibited under this policy:</w:t>
      </w:r>
    </w:p>
    <w:p w14:paraId="01000021" w14:textId="77777777" w:rsidR="00000000" w:rsidRDefault="00000000">
      <w:pPr>
        <w:pStyle w:val="ListParagraph"/>
        <w:numPr>
          <w:ilvl w:val="0"/>
          <w:numId w:val="2"/>
        </w:numPr>
        <w:spacing w:after="80"/>
      </w:pPr>
      <w:r>
        <w:t>Billing for hours not actually spent by a human professional.</w:t>
      </w:r>
    </w:p>
    <w:p w14:paraId="01000022" w14:textId="77777777" w:rsidR="00000000" w:rsidRDefault="00000000">
      <w:pPr>
        <w:pStyle w:val="ListParagraph"/>
        <w:numPr>
          <w:ilvl w:val="0"/>
          <w:numId w:val="2"/>
        </w:numPr>
        <w:spacing w:after="80"/>
      </w:pPr>
      <w:r>
        <w:t>Describing AI-assisted work as fully manual work on an invoice or time entry.</w:t>
      </w:r>
    </w:p>
    <w:p w14:paraId="01000023" w14:textId="77777777" w:rsidR="00000000" w:rsidRDefault="00000000">
      <w:pPr>
        <w:pStyle w:val="ListParagraph"/>
        <w:numPr>
          <w:ilvl w:val="0"/>
          <w:numId w:val="2"/>
        </w:numPr>
        <w:spacing w:after="80"/>
      </w:pPr>
      <w:r>
        <w:t>Double billing multiple clients for the same base AI-generated output without meaningful tailoring for each engagement.</w:t>
      </w:r>
    </w:p>
    <w:p w14:paraId="01000024" w14:textId="77777777" w:rsidR="00000000" w:rsidRDefault="00000000">
      <w:pPr>
        <w:pStyle w:val="ListParagraph"/>
        <w:numPr>
          <w:ilvl w:val="0"/>
          <w:numId w:val="2"/>
        </w:numPr>
        <w:spacing w:after="160"/>
      </w:pPr>
      <w:r>
        <w:t>Failing to pass on agreed cost savings where engagement terms require that result.</w:t>
      </w:r>
    </w:p>
    <w:p w14:paraId="01000025" w14:textId="77777777" w:rsidR="00000000" w:rsidRDefault="00000000">
      <w:pPr>
        <w:spacing w:after="80"/>
      </w:pPr>
      <w:r>
        <w:t>The right question for billing review is not “Did AI help?” The better questions are: Was the fee reasonable for the work and responsibility involved? Was the invoice description accurate? Did the firm bill for actual human time if billing hourly? Did the firm provide real review and judgment proportionate to the fee charged?</w:t>
      </w:r>
    </w:p>
    <w:p w14:paraId="01000026" w14:textId="77777777" w:rsidR="00000000" w:rsidRDefault="00000000">
      <w:pPr>
        <w:spacing w:after="80"/>
      </w:pPr>
      <w:r>
        <w:rPr>
          <w:b/>
          <w:bCs/>
        </w:rPr>
        <w:lastRenderedPageBreak/>
        <w:t>Billing model guidance.</w:t>
      </w:r>
      <w:r>
        <w:t xml:space="preserve"> For hourly billing, record actual human time only. For fixed-fee billing, define deliverables and value clearly so the fee reflects responsibility, not a distorted picture of labor. For value billing, emphasize judgment, review, and speed rather than implicit manual effort. For subscription or advisory arrangements, document client-specific analysis and review to distinguish the firm’s work product from generic AI output.</w:t>
      </w:r>
    </w:p>
    <w:p w14:paraId="01000027" w14:textId="77777777" w:rsidR="00000000" w:rsidRDefault="00000000">
      <w:pPr>
        <w:spacing w:after="160"/>
      </w:pPr>
      <w:r>
        <w:t>A practitioner can use AI and still charge a proper fee. The firm should avoid fictional labor descriptions and must align billing with actual work performed, agreed engagement terms, and the value delivered.</w:t>
      </w:r>
    </w:p>
    <w:p w14:paraId="0CE9CC00" w14:textId="77777777" w:rsidR="006D31E6" w:rsidRDefault="006D31E6">
      <w:pPr>
        <w:spacing w:before="300"/>
      </w:pPr>
    </w:p>
    <w:p w14:paraId="002301AB" w14:textId="77777777" w:rsidR="006D31E6" w:rsidRDefault="00000000">
      <w:pPr>
        <w:pBdr>
          <w:top w:val="single" w:sz="4" w:space="8" w:color="D1D9E6"/>
        </w:pBdr>
        <w:spacing w:before="200" w:after="120"/>
      </w:pPr>
      <w:r>
        <w:rPr>
          <w:b/>
          <w:bCs/>
        </w:rPr>
        <w:t>Source &amp; Further Reading</w:t>
      </w:r>
    </w:p>
    <w:p w14:paraId="59DA17EB" w14:textId="77777777" w:rsidR="006D31E6" w:rsidRDefault="00000000">
      <w:pPr>
        <w:spacing w:before="160"/>
      </w:pPr>
      <w:r>
        <w:rPr>
          <w:i/>
          <w:iCs/>
          <w:color w:val="6B7E9A"/>
          <w:sz w:val="19"/>
          <w:szCs w:val="19"/>
        </w:rPr>
        <w:t>This document is provided for general informational purposes only and does not constitute legal advice. Firms should have these guidelines reviewed by qualified legal counsel before formal adoption, and should consult counsel regarding their specific facts and circumstances under IRC §7216, IRC §6713, and applicable Treasury Regulations.</w:t>
      </w:r>
    </w:p>
    <w:sectPr w:rsidR="006D31E6">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EDA8C" w14:textId="77777777" w:rsidR="00F3385D" w:rsidRDefault="00F3385D">
      <w:r>
        <w:separator/>
      </w:r>
    </w:p>
  </w:endnote>
  <w:endnote w:type="continuationSeparator" w:id="0">
    <w:p w14:paraId="181F42B9" w14:textId="77777777" w:rsidR="00F3385D" w:rsidRDefault="00F3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FFA6" w14:textId="77777777" w:rsidR="006D31E6" w:rsidRDefault="00000000">
    <w:pPr>
      <w:jc w:val="center"/>
    </w:pPr>
    <w:r>
      <w:rPr>
        <w:color w:val="6B7E9A"/>
        <w:sz w:val="18"/>
        <w:szCs w:val="18"/>
      </w:rPr>
      <w:t xml:space="preserve">Page </w:t>
    </w:r>
    <w:r>
      <w:rPr>
        <w:color w:val="6B7E9A"/>
        <w:sz w:val="18"/>
        <w:szCs w:val="18"/>
      </w:rPr>
      <w:fldChar w:fldCharType="begin"/>
    </w:r>
    <w:r>
      <w:rPr>
        <w:color w:val="6B7E9A"/>
        <w:sz w:val="18"/>
        <w:szCs w:val="18"/>
      </w:rPr>
      <w:instrText>PAGE</w:instrText>
    </w:r>
    <w:r>
      <w:rPr>
        <w:color w:val="6B7E9A"/>
        <w:sz w:val="18"/>
        <w:szCs w:val="18"/>
      </w:rPr>
      <w:fldChar w:fldCharType="separate"/>
    </w:r>
    <w:r w:rsidR="00551B5D">
      <w:rPr>
        <w:noProof/>
        <w:color w:val="6B7E9A"/>
        <w:sz w:val="18"/>
        <w:szCs w:val="18"/>
      </w:rPr>
      <w:t>1</w:t>
    </w:r>
    <w:r>
      <w:rPr>
        <w:color w:val="6B7E9A"/>
        <w:sz w:val="18"/>
        <w:szCs w:val="18"/>
      </w:rPr>
      <w:fldChar w:fldCharType="end"/>
    </w:r>
    <w:r>
      <w:rPr>
        <w:color w:val="6B7E9A"/>
        <w:sz w:val="18"/>
        <w:szCs w:val="18"/>
      </w:rPr>
      <w:t xml:space="preserve"> of </w:t>
    </w:r>
    <w:r>
      <w:rPr>
        <w:color w:val="6B7E9A"/>
        <w:sz w:val="18"/>
        <w:szCs w:val="18"/>
      </w:rPr>
      <w:fldChar w:fldCharType="begin"/>
    </w:r>
    <w:r>
      <w:rPr>
        <w:color w:val="6B7E9A"/>
        <w:sz w:val="18"/>
        <w:szCs w:val="18"/>
      </w:rPr>
      <w:instrText>NUMPAGES</w:instrText>
    </w:r>
    <w:r>
      <w:rPr>
        <w:color w:val="6B7E9A"/>
        <w:sz w:val="18"/>
        <w:szCs w:val="18"/>
      </w:rPr>
      <w:fldChar w:fldCharType="separate"/>
    </w:r>
    <w:r w:rsidR="00551B5D">
      <w:rPr>
        <w:noProof/>
        <w:color w:val="6B7E9A"/>
        <w:sz w:val="18"/>
        <w:szCs w:val="18"/>
      </w:rPr>
      <w:t>2</w:t>
    </w:r>
    <w:r>
      <w:rPr>
        <w:color w:val="6B7E9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907B5" w14:textId="77777777" w:rsidR="00F3385D" w:rsidRDefault="00F3385D">
      <w:r>
        <w:separator/>
      </w:r>
    </w:p>
  </w:footnote>
  <w:footnote w:type="continuationSeparator" w:id="0">
    <w:p w14:paraId="2D9DEF3C" w14:textId="77777777" w:rsidR="00F3385D" w:rsidRDefault="00F33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1574" w14:textId="796EFB21" w:rsidR="00967C9E" w:rsidRDefault="00967C9E">
    <w:pPr>
      <w:pBdr>
        <w:bottom w:val="single" w:sz="4" w:space="4" w:color="D1D9E6"/>
      </w:pBdr>
      <w:tabs>
        <w:tab w:val="right" w:pos="9026"/>
      </w:tabs>
      <w:rPr>
        <w:color w:val="6B7E9A"/>
        <w:sz w:val="18"/>
        <w:szCs w:val="18"/>
      </w:rPr>
    </w:pPr>
    <w:r>
      <w:rPr>
        <w:noProof/>
      </w:rPr>
      <w:drawing>
        <wp:inline distT="0" distB="0" distL="0" distR="0" wp14:anchorId="31A517E7" wp14:editId="2592B696">
          <wp:extent cx="6667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66750" cy="666750"/>
                  </a:xfrm>
                  <a:prstGeom prst="rect">
                    <a:avLst/>
                  </a:prstGeom>
                </pic:spPr>
              </pic:pic>
            </a:graphicData>
          </a:graphic>
        </wp:inline>
      </w:drawing>
    </w:r>
  </w:p>
  <w:p w14:paraId="4D07BA4E" w14:textId="77777777" w:rsidR="00967C9E" w:rsidRDefault="00967C9E">
    <w:pPr>
      <w:pBdr>
        <w:bottom w:val="single" w:sz="4" w:space="4" w:color="D1D9E6"/>
      </w:pBdr>
      <w:tabs>
        <w:tab w:val="right" w:pos="9026"/>
      </w:tabs>
      <w:rPr>
        <w:color w:val="6B7E9A"/>
        <w:sz w:val="18"/>
        <w:szCs w:val="18"/>
      </w:rPr>
    </w:pPr>
  </w:p>
  <w:p w14:paraId="64538E7D" w14:textId="08735EC7" w:rsidR="006D31E6" w:rsidRDefault="00000000">
    <w:pPr>
      <w:pBdr>
        <w:bottom w:val="single" w:sz="4" w:space="4" w:color="D1D9E6"/>
      </w:pBdr>
      <w:tabs>
        <w:tab w:val="right" w:pos="9026"/>
      </w:tabs>
    </w:pPr>
    <w:r>
      <w:rPr>
        <w:color w:val="6B7E9A"/>
        <w:sz w:val="18"/>
        <w:szCs w:val="18"/>
      </w:rPr>
      <w:t>Firm AI Usage Guidelines</w:t>
    </w:r>
    <w:r>
      <w:rPr>
        <w:color w:val="6B7E9A"/>
        <w:sz w:val="18"/>
        <w:szCs w:val="18"/>
      </w:rPr>
      <w:tab/>
      <w:t>Bizora AI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133"/>
    <w:multiLevelType w:val="hybridMultilevel"/>
    <w:tmpl w:val="2F3466D2"/>
    <w:lvl w:ilvl="0" w:tplc="DD88579A">
      <w:start w:val="1"/>
      <w:numFmt w:val="bullet"/>
      <w:lvlText w:val="•"/>
      <w:lvlJc w:val="left"/>
      <w:pPr>
        <w:ind w:left="540" w:hanging="270"/>
      </w:pPr>
    </w:lvl>
    <w:lvl w:ilvl="1" w:tplc="2444CBCA">
      <w:numFmt w:val="decimal"/>
      <w:lvlText w:val=""/>
      <w:lvlJc w:val="left"/>
    </w:lvl>
    <w:lvl w:ilvl="2" w:tplc="9D3484B4">
      <w:numFmt w:val="decimal"/>
      <w:lvlText w:val=""/>
      <w:lvlJc w:val="left"/>
    </w:lvl>
    <w:lvl w:ilvl="3" w:tplc="7DACB25A">
      <w:numFmt w:val="decimal"/>
      <w:lvlText w:val=""/>
      <w:lvlJc w:val="left"/>
    </w:lvl>
    <w:lvl w:ilvl="4" w:tplc="CDB880AA">
      <w:numFmt w:val="decimal"/>
      <w:lvlText w:val=""/>
      <w:lvlJc w:val="left"/>
    </w:lvl>
    <w:lvl w:ilvl="5" w:tplc="8946E6B0">
      <w:numFmt w:val="decimal"/>
      <w:lvlText w:val=""/>
      <w:lvlJc w:val="left"/>
    </w:lvl>
    <w:lvl w:ilvl="6" w:tplc="8D043600">
      <w:numFmt w:val="decimal"/>
      <w:lvlText w:val=""/>
      <w:lvlJc w:val="left"/>
    </w:lvl>
    <w:lvl w:ilvl="7" w:tplc="F2263756">
      <w:numFmt w:val="decimal"/>
      <w:lvlText w:val=""/>
      <w:lvlJc w:val="left"/>
    </w:lvl>
    <w:lvl w:ilvl="8" w:tplc="29AE6A9A">
      <w:numFmt w:val="decimal"/>
      <w:lvlText w:val=""/>
      <w:lvlJc w:val="left"/>
    </w:lvl>
  </w:abstractNum>
  <w:abstractNum w:abstractNumId="1" w15:restartNumberingAfterBreak="0">
    <w:nsid w:val="193777E8"/>
    <w:multiLevelType w:val="hybridMultilevel"/>
    <w:tmpl w:val="BD26E564"/>
    <w:lvl w:ilvl="0" w:tplc="DC345EBA">
      <w:start w:val="1"/>
      <w:numFmt w:val="decimal"/>
      <w:lvlText w:val="%1."/>
      <w:lvlJc w:val="left"/>
      <w:pPr>
        <w:ind w:left="540" w:hanging="270"/>
      </w:pPr>
    </w:lvl>
    <w:lvl w:ilvl="1" w:tplc="89BEC5FA">
      <w:numFmt w:val="decimal"/>
      <w:lvlText w:val=""/>
      <w:lvlJc w:val="left"/>
    </w:lvl>
    <w:lvl w:ilvl="2" w:tplc="BC86DAD0">
      <w:numFmt w:val="decimal"/>
      <w:lvlText w:val=""/>
      <w:lvlJc w:val="left"/>
    </w:lvl>
    <w:lvl w:ilvl="3" w:tplc="1FEC060C">
      <w:numFmt w:val="decimal"/>
      <w:lvlText w:val=""/>
      <w:lvlJc w:val="left"/>
    </w:lvl>
    <w:lvl w:ilvl="4" w:tplc="7DB8A00A">
      <w:numFmt w:val="decimal"/>
      <w:lvlText w:val=""/>
      <w:lvlJc w:val="left"/>
    </w:lvl>
    <w:lvl w:ilvl="5" w:tplc="2D766492">
      <w:numFmt w:val="decimal"/>
      <w:lvlText w:val=""/>
      <w:lvlJc w:val="left"/>
    </w:lvl>
    <w:lvl w:ilvl="6" w:tplc="CE541E68">
      <w:numFmt w:val="decimal"/>
      <w:lvlText w:val=""/>
      <w:lvlJc w:val="left"/>
    </w:lvl>
    <w:lvl w:ilvl="7" w:tplc="05A02460">
      <w:numFmt w:val="decimal"/>
      <w:lvlText w:val=""/>
      <w:lvlJc w:val="left"/>
    </w:lvl>
    <w:lvl w:ilvl="8" w:tplc="038A114E">
      <w:numFmt w:val="decimal"/>
      <w:lvlText w:val=""/>
      <w:lvlJc w:val="left"/>
    </w:lvl>
  </w:abstractNum>
  <w:abstractNum w:abstractNumId="2" w15:restartNumberingAfterBreak="0">
    <w:nsid w:val="287C4AF9"/>
    <w:multiLevelType w:val="hybridMultilevel"/>
    <w:tmpl w:val="0D781CDA"/>
    <w:lvl w:ilvl="0" w:tplc="2C3A0206">
      <w:start w:val="1"/>
      <w:numFmt w:val="bullet"/>
      <w:lvlText w:val="●"/>
      <w:lvlJc w:val="left"/>
      <w:pPr>
        <w:ind w:left="720" w:hanging="360"/>
      </w:pPr>
    </w:lvl>
    <w:lvl w:ilvl="1" w:tplc="E5E0664A">
      <w:start w:val="1"/>
      <w:numFmt w:val="bullet"/>
      <w:lvlText w:val="○"/>
      <w:lvlJc w:val="left"/>
      <w:pPr>
        <w:ind w:left="1440" w:hanging="360"/>
      </w:pPr>
    </w:lvl>
    <w:lvl w:ilvl="2" w:tplc="BF28193A">
      <w:start w:val="1"/>
      <w:numFmt w:val="bullet"/>
      <w:lvlText w:val="■"/>
      <w:lvlJc w:val="left"/>
      <w:pPr>
        <w:ind w:left="2160" w:hanging="360"/>
      </w:pPr>
    </w:lvl>
    <w:lvl w:ilvl="3" w:tplc="349A73B6">
      <w:start w:val="1"/>
      <w:numFmt w:val="bullet"/>
      <w:lvlText w:val="●"/>
      <w:lvlJc w:val="left"/>
      <w:pPr>
        <w:ind w:left="2880" w:hanging="360"/>
      </w:pPr>
    </w:lvl>
    <w:lvl w:ilvl="4" w:tplc="7780E1B0">
      <w:start w:val="1"/>
      <w:numFmt w:val="bullet"/>
      <w:lvlText w:val="○"/>
      <w:lvlJc w:val="left"/>
      <w:pPr>
        <w:ind w:left="3600" w:hanging="360"/>
      </w:pPr>
    </w:lvl>
    <w:lvl w:ilvl="5" w:tplc="A0F0C382">
      <w:start w:val="1"/>
      <w:numFmt w:val="bullet"/>
      <w:lvlText w:val="■"/>
      <w:lvlJc w:val="left"/>
      <w:pPr>
        <w:ind w:left="4320" w:hanging="360"/>
      </w:pPr>
    </w:lvl>
    <w:lvl w:ilvl="6" w:tplc="D9369842">
      <w:start w:val="1"/>
      <w:numFmt w:val="bullet"/>
      <w:lvlText w:val="●"/>
      <w:lvlJc w:val="left"/>
      <w:pPr>
        <w:ind w:left="5040" w:hanging="360"/>
      </w:pPr>
    </w:lvl>
    <w:lvl w:ilvl="7" w:tplc="94609836">
      <w:start w:val="1"/>
      <w:numFmt w:val="bullet"/>
      <w:lvlText w:val="●"/>
      <w:lvlJc w:val="left"/>
      <w:pPr>
        <w:ind w:left="5760" w:hanging="360"/>
      </w:pPr>
    </w:lvl>
    <w:lvl w:ilvl="8" w:tplc="E462222C">
      <w:start w:val="1"/>
      <w:numFmt w:val="bullet"/>
      <w:lvlText w:val="●"/>
      <w:lvlJc w:val="left"/>
      <w:pPr>
        <w:ind w:left="6480" w:hanging="360"/>
      </w:pPr>
    </w:lvl>
  </w:abstractNum>
  <w:abstractNum w:abstractNumId="3" w15:restartNumberingAfterBreak="0">
    <w:nsid w:val="71F50C0A"/>
    <w:multiLevelType w:val="hybridMultilevel"/>
    <w:tmpl w:val="0E40265A"/>
    <w:lvl w:ilvl="0" w:tplc="C52CB0B2">
      <w:start w:val="1"/>
      <w:numFmt w:val="decimal"/>
      <w:lvlText w:val="%1."/>
      <w:lvlJc w:val="left"/>
      <w:pPr>
        <w:ind w:left="540" w:hanging="270"/>
      </w:pPr>
    </w:lvl>
    <w:lvl w:ilvl="1" w:tplc="28605F7E">
      <w:numFmt w:val="decimal"/>
      <w:lvlText w:val=""/>
      <w:lvlJc w:val="left"/>
    </w:lvl>
    <w:lvl w:ilvl="2" w:tplc="D464ABC2">
      <w:numFmt w:val="decimal"/>
      <w:lvlText w:val=""/>
      <w:lvlJc w:val="left"/>
    </w:lvl>
    <w:lvl w:ilvl="3" w:tplc="B024F356">
      <w:numFmt w:val="decimal"/>
      <w:lvlText w:val=""/>
      <w:lvlJc w:val="left"/>
    </w:lvl>
    <w:lvl w:ilvl="4" w:tplc="E4B0F370">
      <w:numFmt w:val="decimal"/>
      <w:lvlText w:val=""/>
      <w:lvlJc w:val="left"/>
    </w:lvl>
    <w:lvl w:ilvl="5" w:tplc="B2142062">
      <w:numFmt w:val="decimal"/>
      <w:lvlText w:val=""/>
      <w:lvlJc w:val="left"/>
    </w:lvl>
    <w:lvl w:ilvl="6" w:tplc="A2D08674">
      <w:numFmt w:val="decimal"/>
      <w:lvlText w:val=""/>
      <w:lvlJc w:val="left"/>
    </w:lvl>
    <w:lvl w:ilvl="7" w:tplc="A5E49F42">
      <w:numFmt w:val="decimal"/>
      <w:lvlText w:val=""/>
      <w:lvlJc w:val="left"/>
    </w:lvl>
    <w:lvl w:ilvl="8" w:tplc="0DFE416A">
      <w:numFmt w:val="decimal"/>
      <w:lvlText w:val=""/>
      <w:lvlJc w:val="left"/>
    </w:lvl>
  </w:abstractNum>
  <w:num w:numId="1" w16cid:durableId="1804498155">
    <w:abstractNumId w:val="2"/>
    <w:lvlOverride w:ilvl="0">
      <w:startOverride w:val="1"/>
    </w:lvlOverride>
  </w:num>
  <w:num w:numId="2" w16cid:durableId="1614627238">
    <w:abstractNumId w:val="0"/>
    <w:lvlOverride w:ilvl="0">
      <w:startOverride w:val="1"/>
    </w:lvlOverride>
  </w:num>
  <w:num w:numId="3" w16cid:durableId="540217013">
    <w:abstractNumId w:val="1"/>
    <w:lvlOverride w:ilvl="0">
      <w:startOverride w:val="1"/>
    </w:lvlOverride>
  </w:num>
  <w:num w:numId="4" w16cid:durableId="89570651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E6"/>
    <w:rsid w:val="001E054D"/>
    <w:rsid w:val="00214DC7"/>
    <w:rsid w:val="004B70A9"/>
    <w:rsid w:val="0052355A"/>
    <w:rsid w:val="00551B5D"/>
    <w:rsid w:val="00655615"/>
    <w:rsid w:val="006D31E6"/>
    <w:rsid w:val="00967C9E"/>
    <w:rsid w:val="00BF11BB"/>
    <w:rsid w:val="00E11AD6"/>
    <w:rsid w:val="00E51C9A"/>
    <w:rsid w:val="00E668F9"/>
    <w:rsid w:val="00F33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CDB944"/>
  <w15:docId w15:val="{E37C84A4-7B30-DE41-B9AC-C257E819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A1E3D"/>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4" w:color="407BFD"/>
      </w:pBdr>
      <w:spacing w:before="320" w:after="200"/>
      <w:outlineLvl w:val="0"/>
    </w:pPr>
    <w:rPr>
      <w:b/>
      <w:bCs/>
      <w:sz w:val="32"/>
      <w:szCs w:val="32"/>
    </w:rPr>
  </w:style>
  <w:style w:type="paragraph" w:styleId="Heading2">
    <w:name w:val="heading 2"/>
    <w:uiPriority w:val="9"/>
    <w:unhideWhenUsed/>
    <w:qFormat/>
    <w:pPr>
      <w:spacing w:before="260" w:after="140"/>
      <w:outlineLvl w:val="1"/>
    </w:pPr>
    <w:rPr>
      <w:b/>
      <w:bCs/>
      <w:color w:val="2D5BBD"/>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67C9E"/>
    <w:pPr>
      <w:tabs>
        <w:tab w:val="center" w:pos="4680"/>
        <w:tab w:val="right" w:pos="9360"/>
      </w:tabs>
    </w:pPr>
  </w:style>
  <w:style w:type="character" w:customStyle="1" w:styleId="HeaderChar">
    <w:name w:val="Header Char"/>
    <w:basedOn w:val="DefaultParagraphFont"/>
    <w:link w:val="Header"/>
    <w:uiPriority w:val="99"/>
    <w:rsid w:val="00967C9E"/>
  </w:style>
  <w:style w:type="paragraph" w:styleId="Footer">
    <w:name w:val="footer"/>
    <w:basedOn w:val="Normal"/>
    <w:link w:val="FooterChar"/>
    <w:uiPriority w:val="99"/>
    <w:unhideWhenUsed/>
    <w:rsid w:val="00967C9E"/>
    <w:pPr>
      <w:tabs>
        <w:tab w:val="center" w:pos="4680"/>
        <w:tab w:val="right" w:pos="9360"/>
      </w:tabs>
    </w:pPr>
  </w:style>
  <w:style w:type="character" w:customStyle="1" w:styleId="FooterChar">
    <w:name w:val="Footer Char"/>
    <w:basedOn w:val="DefaultParagraphFont"/>
    <w:link w:val="Footer"/>
    <w:uiPriority w:val="99"/>
    <w:rsid w:val="00967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11</Pages>
  <Words>3370</Words>
  <Characters>18771</Characters>
  <Application>Microsoft Office Word</Application>
  <DocSecurity>0</DocSecurity>
  <Lines>329</Lines>
  <Paragraphs>170</Paragraphs>
  <ScaleCrop>false</ScaleCrop>
  <Company/>
  <LinksUpToDate>false</LinksUpToDate>
  <CharactersWithSpaces>21971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adam tahir</cp:lastModifiedBy>
  <cp:revision>4</cp:revision>
  <dcterms:created xsi:type="dcterms:W3CDTF">2026-06-16T23:38:00Z</dcterms:created>
  <dcterms:modified xsi:type="dcterms:W3CDTF">2026-06-24T22:10:00Z</dcterms:modified>
</cp:coreProperties>
</file>